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0"/>
          <w:szCs w:val="30"/>
        </w:rPr>
      </w:pPr>
      <w:bookmarkStart w:id="0" w:name="_GoBack"/>
      <w:r>
        <w:rPr>
          <w:rFonts w:hint="eastAsia" w:ascii="黑体" w:hAnsi="黑体" w:eastAsia="黑体" w:cs="黑体"/>
          <w:sz w:val="30"/>
          <w:szCs w:val="30"/>
        </w:rPr>
        <w:t>吉林大学哲学社会科学研究机构评估结果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2" w:firstLineChars="200"/>
        <w:textAlignment w:val="auto"/>
        <w:rPr>
          <w:rFonts w:hint="eastAsia"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一、省部级研究机构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1.评估优秀的研究机构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东北亚区域研究协同创新中心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犯罪治理研究中心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社会公正与政府治理研究中心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中国文化研究所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廉政研究与教育中心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社会发展研究中心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高句丽渤海研究中心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2.评估合格的研究机构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中俄区域合作研究中心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东北亚地缘政治经济研究所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中国地方政府创新研究中心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中国特色社会主义理论体系研究中心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农村发展研究中心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东北区域现代农业发展研究中心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东北亚国际语言文化研究基地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文化遗产保护研究中心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中国人口老龄化与经济社会发展研究中心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高校外语教育研究基地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劳动关系研究中心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日本侵华史研究中心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残疾人事业发展研究中心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2" w:firstLineChars="200"/>
        <w:textAlignment w:val="auto"/>
        <w:rPr>
          <w:rFonts w:hint="eastAsia"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二、校级实体研究机构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1.评估优秀的研究机构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创新创业研究院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全面依法治国重大问题研究中心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2.评估合格的研究机构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古籍研究所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中日经济共同研究中心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中国古文字研究中心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国际关系研究所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高等教育研究所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2" w:firstLineChars="200"/>
        <w:textAlignment w:val="auto"/>
        <w:rPr>
          <w:rFonts w:hint="eastAsia"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三、校级非实体研究机构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1.评估优秀的研究机构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国家治理协同创新中心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公民道德与社会风尚协同创新中心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2.评估合格的研究机构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边疆考古与中国文化认同协同创新中心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朝鲜韩国研究所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农村金融研究中心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司法数据应用研究中心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俄罗斯研究所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民族研究所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蒙古研究所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大数据管理研究中心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吉林省长吉图开发开放研究中心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吉林大学—中国（海南）改革发展研究院经济政策定量研究中心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日本研究所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吉林大学（中国）—西蒙菲莎大学（加拿大）生物考古学联合实验室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美国研究所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高清海哲学思想研究中心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中国企业社会风险与责任研究中心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信息资源研究中心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信息化与信息管理研究中心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俄罗斯现代化研究中心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中国科技政策与科技管理研究中心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妇幼保障研究中心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中国道路与中国化马克思主义协同创新中心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体育与健康管理研究中心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欧洲研究所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中国区域社会史研究中心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知识经济研究中心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中国外交理论与实践协同创新中心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宋体-PUA">
    <w:panose1 w:val="02010600030101010101"/>
    <w:charset w:val="86"/>
    <w:family w:val="auto"/>
    <w:pitch w:val="default"/>
    <w:sig w:usb0="00000000" w:usb1="1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汉仪旗黑-55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271E98"/>
    <w:rsid w:val="55271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2019-01-25T07:53:00Z</dcterms:created>
  <dc:creator>mxc</dc:creator>
  <lastModifiedBy>mxc</lastModifiedBy>
  <dcterms:modified xsi:type="dcterms:W3CDTF">2019-01-25T07:58:22Z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