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2019年度国家法治与法学理论研究项目  课题指南目录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一、 全面依法治国理论研究重点课题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1. 当代中国法学话语体系建构的路径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2. 社会治理法治化的理论与实践研究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3. 领导干部法治素养和依法执政能力考核指标研究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4. 法治乡村的建设路径研究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5. 我国涉外法治专业人才培养体系构建与应用研究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6. 我国合宪性审查权力的功能定位与合理配置研究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7. 党和国家机构改革背景下的行政组织法研究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8. 我国民营经济发展法治保障问题研究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9. 互联网金融犯罪治理研究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10. 优化营商环境背景下的《公司法》修订研究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11. 中国法域外适用的法律体系建设研究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12. 生态文明建设法治保障研究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二、一般课题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13. 法治社会建设问题研究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14. 党规与国法的界限、衔接与互动研究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15. 基本公共服务保障法研究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16. 人工智能社会风险的法律规制研究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17. 推进依法治藏的措施和办法研究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18. 中国古代的司法监察机制研究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19. 传统官箴中的司法理念研究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20. 近代中国警察法律文献整理与研究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21. 西方法律教育源流研究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22. 传统中国民间纠纷解决机制研究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23. 中国古代法律解释研究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24. 宪法上“国家安全”条款研究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25. 健全地方税体系的宪法学研究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26. 人工智能时代的人权保障问题研究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27. 国家监察体制改革中的纪法衔接问题研究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28. 推进长三角一体化发展进程中的地方立法问题研究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29. 反歧视立法的宪法问题研究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30. 最高人民法院司法解释的宪法问题研究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31. 行政执法三项制度实践状况研究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32. 《行政处罚法》修订重点问题研究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33. 统筹推进行政复议体制改革与行政诉讼体制改革研究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34. 新修订《政府信息公开条例》实施中的疑难法律问题研究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35. 法治政府建设领域实施“互联网+督察”的实践与探索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36. 公共视频监控的法律规制研究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37. 我国民办教育准入与退出的法律规制研究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38. 信用联合奖惩制度的合法性与有效性研究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39. 公共法律服务体系在基层社会治理中的功能研究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40. 反垄断法修订完善研究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41. 优化税收营商环境法律问题研究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42. 大数据背景下地方金融监管模式研究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43. 预算法视野下政府产业投资基金法律规制研究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44. 知识资源数据库相似度检测的法律规制研究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45. 市场主体信用监管法律制度研究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46. 人工智能法律风险防控的实证研究——以智能制造产业为视角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47. 自然保护区内自然资源资产特许经营权制度研究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48. 人工智能涉刑法问题研究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49. 醉驾行为入刑后引发问题研究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50. 毒品问题治理的实践困境与模式创新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51. 城市犯罪的分布与防范对策研究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52. 司法解释中的出罪研究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53. 预防性犯罪化立法的限度研究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54. 性侵害未成年人犯罪刑事政策体系研究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55. 未成年人犯罪立法完善研究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56. 监狱罪犯评估矫正一体化问题研究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57. 监察法与刑法衔接实施问题研究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58. 人民法庭在基层治理法治化中的作用研究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59. 我国司法鉴定管理现状、存在问题及对策研究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60. 纪检监察证据制度研究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61. 司法执行公开透明制度建设研究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62. “检察公益诉讼”等外案件范围研究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63. 环境民事公益诉讼中司法鉴定问题研究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64. 《仲裁法》修改中的疑难问题研究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65. 法律职业资格考试内容改革研究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66. 刑事案件律师辩护全覆盖问题研究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67. 民法典总则编与各分则编的立法协调研究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68. 夫妻共同债务认定与清偿研究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69. 共享经济法律规制研究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70. 个人破产制度构建的难点与对策研究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71. 农村宅基地“三权分置”研究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72. 中国公司法历史演变中的国家功能与角色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73. 推进我国人类胚胎基因编辑立法研究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74. 无居民海岛产权体系研究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75. 企业存货动态质押担保融资研究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76. 国家海洋治理体系与治理能力现代化研究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77. 航空安全国际法问题研究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78. 人类命运共同体理念下的全球移民治理法律路径研究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79. 贸易反制的国际法问题研究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80. 陆海贸易新通道的货物运输规则创新研究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81. “一带一路”战略下涉外公共法律服务问题研究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82. 命运共同体视角下极地治理机制研究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83. 环境法的法典化与最严密环保法治体系建设研究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84. 中央环保督察的法治化研究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85. 《国家公园法》立法研究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86. 生态环境损害赔偿诉讼与环境公益诉讼关系研究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shd w:val="clear" w:fill="FFFFFF"/>
        </w:rPr>
        <w:t>87. 可再生能源法制建设的域外经验研究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2019-05-31T05:58:56Z</dcterms:created>
  <dc:creator>Lenovo</dc:creator>
  <lastModifiedBy>劳动党第一书记</lastModifiedBy>
  <dcterms:modified xsi:type="dcterms:W3CDTF">2019-05-31T05:59:01Z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