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E8" w:rsidRDefault="00082AE8" w:rsidP="00EE4314">
      <w:pPr>
        <w:jc w:val="center"/>
        <w:rPr>
          <w:rFonts w:ascii="宋体" w:cs="Calibri"/>
          <w:sz w:val="36"/>
          <w:szCs w:val="36"/>
        </w:rPr>
      </w:pPr>
      <w:r w:rsidRPr="00EE4314">
        <w:rPr>
          <w:rFonts w:ascii="宋体" w:hAnsi="宋体" w:cs="Calibri" w:hint="eastAsia"/>
          <w:sz w:val="36"/>
          <w:szCs w:val="36"/>
        </w:rPr>
        <w:t>李文祥教授学术事迹</w:t>
      </w:r>
    </w:p>
    <w:p w:rsidR="00082AE8" w:rsidRPr="00EE4314" w:rsidRDefault="00082AE8" w:rsidP="00EE4314">
      <w:pPr>
        <w:jc w:val="center"/>
        <w:rPr>
          <w:rFonts w:ascii="宋体" w:cs="Calibri"/>
          <w:sz w:val="36"/>
          <w:szCs w:val="36"/>
        </w:rPr>
      </w:pPr>
    </w:p>
    <w:p w:rsidR="00082AE8" w:rsidRDefault="00082AE8" w:rsidP="00ED0FB0">
      <w:pPr>
        <w:spacing w:line="360" w:lineRule="auto"/>
        <w:ind w:firstLineChars="200" w:firstLine="31680"/>
        <w:rPr>
          <w:rFonts w:ascii="仿宋" w:eastAsia="仿宋" w:hAnsi="仿宋"/>
          <w:sz w:val="30"/>
          <w:szCs w:val="30"/>
        </w:rPr>
      </w:pPr>
      <w:r w:rsidRPr="00EE4314">
        <w:rPr>
          <w:rFonts w:ascii="仿宋" w:eastAsia="仿宋" w:hAnsi="仿宋" w:hint="eastAsia"/>
          <w:sz w:val="30"/>
          <w:szCs w:val="30"/>
        </w:rPr>
        <w:t>哲学社会学院李文祥教授长期从事社会学领域的教学和研究工作</w:t>
      </w:r>
      <w:r>
        <w:rPr>
          <w:rFonts w:ascii="仿宋" w:eastAsia="仿宋" w:hAnsi="仿宋" w:hint="eastAsia"/>
          <w:sz w:val="30"/>
          <w:szCs w:val="30"/>
        </w:rPr>
        <w:t>。他</w:t>
      </w:r>
      <w:r w:rsidRPr="00EE4314">
        <w:rPr>
          <w:rFonts w:ascii="仿宋" w:eastAsia="仿宋" w:hAnsi="仿宋" w:hint="eastAsia"/>
          <w:sz w:val="30"/>
          <w:szCs w:val="30"/>
        </w:rPr>
        <w:t>积极践行中国老一辈社会学家“视野广阔、深入实践、学科融合、勇于创新”的学术传统，以跨学科的理论视野探索了一条“实验性社会研究”之路。通过建立乡村实践基地、社区治理实践基地、扶贫实践基地、创业实践基地等方式，探索了具有中国特色的社会治理与区域发展的新概念与新模式。</w:t>
      </w:r>
      <w:r>
        <w:rPr>
          <w:rFonts w:ascii="仿宋" w:eastAsia="仿宋" w:hAnsi="仿宋" w:hint="eastAsia"/>
          <w:sz w:val="30"/>
          <w:szCs w:val="30"/>
        </w:rPr>
        <w:t>他</w:t>
      </w:r>
      <w:r w:rsidRPr="00EE4314">
        <w:rPr>
          <w:rFonts w:ascii="仿宋" w:eastAsia="仿宋" w:hAnsi="仿宋" w:hint="eastAsia"/>
          <w:sz w:val="30"/>
          <w:szCs w:val="30"/>
        </w:rPr>
        <w:t>立足吉林省、贵州省等地的社区治理实践基地，在有效化解当地社会治理困境的实践中，提出协商型社会治理的模式与机制；立足吉林省、辽宁省等地的扶贫实践基地，在有效解决贫困群体主体性弱化的困境中，提出协作型贫困治理的模式与机制；在挂职吉林省抚松县推动区域产业发展期间，提出“社会技术生态”模式，将吉林大学等科研机构的技术与域外资本结合于县域社会和资源之上，促成了创新型产业综合体的建成，推动了区域经济社会的振兴。</w:t>
      </w: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Pr="00EE4314" w:rsidRDefault="00082AE8" w:rsidP="00EE4314">
      <w:pPr>
        <w:spacing w:line="480" w:lineRule="exact"/>
        <w:jc w:val="center"/>
        <w:rPr>
          <w:rFonts w:ascii="宋体" w:cs="Calibri"/>
          <w:sz w:val="36"/>
          <w:szCs w:val="36"/>
        </w:rPr>
      </w:pPr>
      <w:r w:rsidRPr="00EE4314">
        <w:rPr>
          <w:rFonts w:ascii="宋体" w:hAnsi="宋体" w:cs="Calibri" w:hint="eastAsia"/>
          <w:sz w:val="36"/>
          <w:szCs w:val="36"/>
        </w:rPr>
        <w:t>梁玉水副教授学术事迹</w:t>
      </w:r>
    </w:p>
    <w:p w:rsidR="00082AE8" w:rsidRPr="0072403E" w:rsidRDefault="00082AE8" w:rsidP="00ED0FB0">
      <w:pPr>
        <w:spacing w:line="480" w:lineRule="exact"/>
        <w:ind w:firstLineChars="200" w:firstLine="31680"/>
        <w:rPr>
          <w:rFonts w:ascii="宋体"/>
          <w:sz w:val="28"/>
        </w:rPr>
      </w:pPr>
    </w:p>
    <w:p w:rsidR="00082AE8" w:rsidRPr="00EE4314" w:rsidRDefault="00082AE8" w:rsidP="00ED0FB0">
      <w:pPr>
        <w:ind w:firstLineChars="200" w:firstLine="31680"/>
        <w:rPr>
          <w:rFonts w:ascii="仿宋" w:eastAsia="仿宋" w:hAnsi="仿宋"/>
          <w:sz w:val="30"/>
          <w:szCs w:val="30"/>
        </w:rPr>
      </w:pPr>
      <w:r w:rsidRPr="00EE4314">
        <w:rPr>
          <w:rFonts w:ascii="仿宋" w:eastAsia="仿宋" w:hAnsi="仿宋" w:hint="eastAsia"/>
          <w:sz w:val="30"/>
          <w:szCs w:val="30"/>
        </w:rPr>
        <w:t>文学院梁玉水副教授</w:t>
      </w:r>
      <w:r>
        <w:rPr>
          <w:rFonts w:ascii="仿宋" w:eastAsia="仿宋" w:hAnsi="仿宋" w:hint="eastAsia"/>
          <w:sz w:val="30"/>
          <w:szCs w:val="30"/>
        </w:rPr>
        <w:t>长期</w:t>
      </w:r>
      <w:r w:rsidRPr="00EE4314">
        <w:rPr>
          <w:rFonts w:ascii="仿宋" w:eastAsia="仿宋" w:hAnsi="仿宋" w:hint="eastAsia"/>
          <w:sz w:val="30"/>
          <w:szCs w:val="30"/>
        </w:rPr>
        <w:t>从事马克思主义文艺理论、美学等领域的教学、研究及学术社团组织与管理工作。</w:t>
      </w:r>
      <w:r>
        <w:rPr>
          <w:rFonts w:ascii="仿宋" w:eastAsia="仿宋" w:hAnsi="仿宋" w:hint="eastAsia"/>
          <w:sz w:val="30"/>
          <w:szCs w:val="30"/>
        </w:rPr>
        <w:t>他</w:t>
      </w:r>
      <w:r w:rsidRPr="00EE4314">
        <w:rPr>
          <w:rFonts w:ascii="仿宋" w:eastAsia="仿宋" w:hAnsi="仿宋" w:hint="eastAsia"/>
          <w:sz w:val="30"/>
          <w:szCs w:val="30"/>
        </w:rPr>
        <w:t>作为副会长和秘书长的国家一级学会“全国毛泽东文艺思想研究会”是我国马克思主义文艺理论界的重要学术单位，在中国特色社会主义文艺事业发展中发挥着重要的学术研究、组织动员和意识形态引领功能。梁玉水副教授通过多年来不断</w:t>
      </w:r>
      <w:r>
        <w:rPr>
          <w:rFonts w:ascii="仿宋" w:eastAsia="仿宋" w:hAnsi="仿宋" w:hint="eastAsia"/>
          <w:sz w:val="30"/>
          <w:szCs w:val="30"/>
        </w:rPr>
        <w:t>努力，</w:t>
      </w:r>
      <w:r w:rsidRPr="00EE4314">
        <w:rPr>
          <w:rFonts w:ascii="仿宋" w:eastAsia="仿宋" w:hAnsi="仿宋" w:hint="eastAsia"/>
          <w:sz w:val="30"/>
          <w:szCs w:val="30"/>
        </w:rPr>
        <w:t>加强社团管理与建设，提高了社团的组织响应力、学术号召力、发展凝聚力，发挥了社团政治引领、学术为本、为党和国家工作大局服务、为加快构建中国特色哲学社会科学服务的功能，取得了较好的社会反响，</w:t>
      </w:r>
      <w:r w:rsidRPr="00EE4314">
        <w:rPr>
          <w:rFonts w:ascii="仿宋" w:eastAsia="仿宋" w:hAnsi="仿宋"/>
          <w:sz w:val="30"/>
          <w:szCs w:val="30"/>
        </w:rPr>
        <w:t>2020</w:t>
      </w:r>
      <w:r w:rsidRPr="00EE4314">
        <w:rPr>
          <w:rFonts w:ascii="仿宋" w:eastAsia="仿宋" w:hAnsi="仿宋" w:hint="eastAsia"/>
          <w:sz w:val="30"/>
          <w:szCs w:val="30"/>
        </w:rPr>
        <w:t>年，根据中共中央《关于加快构建中国特色哲学社会科学的意见》及中央宣传部、民政部《关于加强哲学社会科学学术社团建设的指导意见》，经中央宣传部批准，社团被纳入教育部主管重点联系范围的</w:t>
      </w:r>
      <w:r w:rsidRPr="00EE4314">
        <w:rPr>
          <w:rFonts w:ascii="仿宋" w:eastAsia="仿宋" w:hAnsi="仿宋"/>
          <w:sz w:val="30"/>
          <w:szCs w:val="30"/>
        </w:rPr>
        <w:t>35</w:t>
      </w:r>
      <w:r w:rsidRPr="00EE4314">
        <w:rPr>
          <w:rFonts w:ascii="仿宋" w:eastAsia="仿宋" w:hAnsi="仿宋" w:hint="eastAsia"/>
          <w:sz w:val="30"/>
          <w:szCs w:val="30"/>
        </w:rPr>
        <w:t>家全国性社科学术社团之列。</w:t>
      </w: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Pr="00EE4314" w:rsidRDefault="00082AE8" w:rsidP="00474077">
      <w:pPr>
        <w:spacing w:line="360" w:lineRule="auto"/>
        <w:jc w:val="center"/>
        <w:rPr>
          <w:rFonts w:ascii="宋体" w:cs="Calibri"/>
          <w:sz w:val="36"/>
          <w:szCs w:val="36"/>
        </w:rPr>
      </w:pPr>
      <w:r w:rsidRPr="00EE4314">
        <w:rPr>
          <w:rFonts w:ascii="宋体" w:hAnsi="宋体" w:cs="Calibri" w:hint="eastAsia"/>
          <w:sz w:val="36"/>
          <w:szCs w:val="36"/>
        </w:rPr>
        <w:t>方启副教授学术事迹</w:t>
      </w:r>
    </w:p>
    <w:p w:rsidR="00082AE8" w:rsidRPr="009931C7" w:rsidRDefault="00082AE8" w:rsidP="00ED0FB0">
      <w:pPr>
        <w:spacing w:line="360" w:lineRule="auto"/>
        <w:ind w:firstLineChars="200" w:firstLine="31680"/>
        <w:jc w:val="center"/>
        <w:rPr>
          <w:rFonts w:ascii="宋体"/>
          <w:b/>
          <w:sz w:val="32"/>
          <w:szCs w:val="32"/>
        </w:rPr>
      </w:pPr>
    </w:p>
    <w:p w:rsidR="00082AE8" w:rsidRPr="00EE4314" w:rsidRDefault="00082AE8" w:rsidP="00ED0FB0">
      <w:pPr>
        <w:ind w:firstLineChars="200" w:firstLine="31680"/>
        <w:rPr>
          <w:rFonts w:ascii="仿宋" w:eastAsia="仿宋" w:hAnsi="仿宋"/>
          <w:sz w:val="30"/>
          <w:szCs w:val="30"/>
        </w:rPr>
      </w:pPr>
      <w:r w:rsidRPr="00EE4314">
        <w:rPr>
          <w:rFonts w:ascii="仿宋" w:eastAsia="仿宋" w:hAnsi="仿宋" w:hint="eastAsia"/>
          <w:sz w:val="30"/>
          <w:szCs w:val="30"/>
        </w:rPr>
        <w:t>考古学院方启副教授长期专注</w:t>
      </w:r>
      <w:r>
        <w:rPr>
          <w:rFonts w:ascii="仿宋" w:eastAsia="仿宋" w:hAnsi="仿宋" w:hint="eastAsia"/>
          <w:sz w:val="30"/>
          <w:szCs w:val="30"/>
        </w:rPr>
        <w:t>于</w:t>
      </w:r>
      <w:r w:rsidRPr="00EE4314">
        <w:rPr>
          <w:rFonts w:ascii="仿宋" w:eastAsia="仿宋" w:hAnsi="仿宋" w:hint="eastAsia"/>
          <w:sz w:val="30"/>
          <w:szCs w:val="30"/>
        </w:rPr>
        <w:t>田野考古教学、旧石器考古研究和公众考古实践</w:t>
      </w:r>
      <w:r>
        <w:rPr>
          <w:rFonts w:ascii="仿宋" w:eastAsia="仿宋" w:hAnsi="仿宋" w:hint="eastAsia"/>
          <w:sz w:val="30"/>
          <w:szCs w:val="30"/>
        </w:rPr>
        <w:t>等工作</w:t>
      </w:r>
      <w:r w:rsidRPr="00EE4314">
        <w:rPr>
          <w:rFonts w:ascii="仿宋" w:eastAsia="仿宋" w:hAnsi="仿宋" w:hint="eastAsia"/>
          <w:sz w:val="30"/>
          <w:szCs w:val="30"/>
        </w:rPr>
        <w:t>。他始终把“育人”作为第一要务，把“治学”作为第一追求，把“师德”作为第一标准。</w:t>
      </w:r>
      <w:r w:rsidRPr="00EE4314">
        <w:rPr>
          <w:rFonts w:ascii="仿宋" w:eastAsia="仿宋" w:hAnsi="仿宋"/>
          <w:sz w:val="30"/>
          <w:szCs w:val="30"/>
        </w:rPr>
        <w:t>2013</w:t>
      </w:r>
      <w:r w:rsidRPr="00EE4314">
        <w:rPr>
          <w:rFonts w:ascii="仿宋" w:eastAsia="仿宋" w:hAnsi="仿宋" w:hint="eastAsia"/>
          <w:sz w:val="30"/>
          <w:szCs w:val="30"/>
        </w:rPr>
        <w:t>至</w:t>
      </w:r>
      <w:r w:rsidRPr="00EE4314">
        <w:rPr>
          <w:rFonts w:ascii="仿宋" w:eastAsia="仿宋" w:hAnsi="仿宋"/>
          <w:sz w:val="30"/>
          <w:szCs w:val="30"/>
        </w:rPr>
        <w:t>2020</w:t>
      </w:r>
      <w:r w:rsidRPr="00EE4314">
        <w:rPr>
          <w:rFonts w:ascii="仿宋" w:eastAsia="仿宋" w:hAnsi="仿宋" w:hint="eastAsia"/>
          <w:sz w:val="30"/>
          <w:szCs w:val="30"/>
        </w:rPr>
        <w:t>期间，八年带领本科学生进行田野考古实习，深入探索现代化考古新模式，为中国田野考古一线培养和输送了大批理论素养高、实践能力强的复合型考古人才。</w:t>
      </w:r>
      <w:r>
        <w:rPr>
          <w:rFonts w:ascii="仿宋" w:eastAsia="仿宋" w:hAnsi="仿宋" w:hint="eastAsia"/>
          <w:sz w:val="30"/>
          <w:szCs w:val="30"/>
        </w:rPr>
        <w:t>实习所在的</w:t>
      </w:r>
      <w:r w:rsidRPr="00EE4314">
        <w:rPr>
          <w:rFonts w:ascii="仿宋" w:eastAsia="仿宋" w:hAnsi="仿宋" w:hint="eastAsia"/>
          <w:sz w:val="30"/>
          <w:szCs w:val="30"/>
        </w:rPr>
        <w:t>后套木嘎遗址，长山遗址和大金山遗址均获得“吉林省优秀考古工地”称号。在考古学院夏县考古基地建设和本科生实习过程中方启同志甘于奉献、成绩突出。方启副教授在多年的田野考古工作中注重产学研结合，面向现实，服务社会。通过网上课程、专题讲座、媒体宣传等渠道向大众普及考古知识、宣传历史文化、增强民族自豪感与凝聚力。</w:t>
      </w: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Default="00082AE8" w:rsidP="00ED0FB0">
      <w:pPr>
        <w:ind w:firstLineChars="600" w:firstLine="31680"/>
        <w:rPr>
          <w:rFonts w:ascii="宋体" w:cs="Calibri"/>
          <w:sz w:val="36"/>
          <w:szCs w:val="36"/>
        </w:rPr>
      </w:pPr>
    </w:p>
    <w:p w:rsidR="00082AE8" w:rsidRPr="00EE4314" w:rsidRDefault="00082AE8" w:rsidP="00ED0FB0">
      <w:pPr>
        <w:ind w:firstLineChars="600" w:firstLine="31680"/>
        <w:rPr>
          <w:rFonts w:ascii="宋体" w:cs="Calibri"/>
          <w:sz w:val="36"/>
          <w:szCs w:val="36"/>
        </w:rPr>
      </w:pPr>
      <w:r w:rsidRPr="00EE4314">
        <w:rPr>
          <w:rFonts w:ascii="宋体" w:hAnsi="宋体" w:cs="Calibri" w:hint="eastAsia"/>
          <w:sz w:val="36"/>
          <w:szCs w:val="36"/>
        </w:rPr>
        <w:t>温双阁教授学术事迹</w:t>
      </w:r>
    </w:p>
    <w:p w:rsidR="00082AE8" w:rsidRDefault="00082AE8" w:rsidP="00ED0FB0">
      <w:pPr>
        <w:spacing w:line="540" w:lineRule="exact"/>
        <w:ind w:firstLineChars="200" w:firstLine="31680"/>
        <w:rPr>
          <w:b/>
          <w:bCs/>
          <w:sz w:val="32"/>
          <w:szCs w:val="32"/>
        </w:rPr>
      </w:pPr>
    </w:p>
    <w:p w:rsidR="00082AE8" w:rsidRPr="00EE4314" w:rsidRDefault="00082AE8" w:rsidP="00ED0FB0">
      <w:pPr>
        <w:ind w:firstLineChars="200" w:firstLine="31680"/>
        <w:rPr>
          <w:rFonts w:ascii="仿宋" w:eastAsia="仿宋" w:hAnsi="仿宋"/>
          <w:sz w:val="30"/>
          <w:szCs w:val="30"/>
        </w:rPr>
      </w:pPr>
      <w:r w:rsidRPr="00EE4314">
        <w:rPr>
          <w:rFonts w:ascii="仿宋" w:eastAsia="仿宋" w:hAnsi="仿宋" w:hint="eastAsia"/>
          <w:sz w:val="30"/>
          <w:szCs w:val="30"/>
        </w:rPr>
        <w:t>法学院温双阁教授长期从事公司法、比较法等领域的教学和学术研究工作。她担任英国斯旺西大学访问教授、杜伦大学商法研究中心访问教授、英国法学家学会会员等学术职务，在对外传播学术思想、推动中外学术合作、扩大学校的学术影响力方面取得重要实际效果。近年来，温双阁教授以牛津大学在线对话主持人、美国国际法学会年会召集人等身份参与组织了多项大型国际学术交流活动。温双阁教授的科研成果具有广泛的国际学术影响，得到了国际学界专家的高度认可。英国国家银行标准立法委员会委员、</w:t>
      </w:r>
      <w:r w:rsidRPr="00EE4314">
        <w:rPr>
          <w:rFonts w:ascii="仿宋" w:eastAsia="仿宋" w:hAnsi="仿宋"/>
          <w:sz w:val="30"/>
          <w:szCs w:val="30"/>
        </w:rPr>
        <w:t>SSCI</w:t>
      </w:r>
      <w:r w:rsidRPr="00EE4314">
        <w:rPr>
          <w:rFonts w:ascii="仿宋" w:eastAsia="仿宋" w:hAnsi="仿宋" w:hint="eastAsia"/>
          <w:sz w:val="30"/>
          <w:szCs w:val="30"/>
        </w:rPr>
        <w:t>收录期刊</w:t>
      </w:r>
      <w:r w:rsidRPr="00EE4314">
        <w:rPr>
          <w:rFonts w:ascii="仿宋" w:eastAsia="仿宋" w:hAnsi="仿宋"/>
          <w:i/>
          <w:sz w:val="30"/>
          <w:szCs w:val="30"/>
        </w:rPr>
        <w:t>Modern Law Review</w:t>
      </w:r>
      <w:r w:rsidRPr="00EE4314">
        <w:rPr>
          <w:rFonts w:ascii="仿宋" w:eastAsia="仿宋" w:hAnsi="仿宋" w:hint="eastAsia"/>
          <w:sz w:val="30"/>
          <w:szCs w:val="30"/>
        </w:rPr>
        <w:t>主编</w:t>
      </w:r>
      <w:r w:rsidRPr="00EE4314">
        <w:rPr>
          <w:rFonts w:ascii="仿宋" w:eastAsia="仿宋" w:hAnsi="仿宋"/>
          <w:sz w:val="30"/>
          <w:szCs w:val="30"/>
        </w:rPr>
        <w:t>David Kershaw</w:t>
      </w:r>
      <w:r w:rsidRPr="00EE4314">
        <w:rPr>
          <w:rFonts w:ascii="仿宋" w:eastAsia="仿宋" w:hAnsi="仿宋" w:hint="eastAsia"/>
          <w:sz w:val="30"/>
          <w:szCs w:val="30"/>
        </w:rPr>
        <w:t>教授对于其成果给予了“中西国家间的学术桥梁”的高度肯定性评价。</w:t>
      </w: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474077">
      <w:pPr>
        <w:spacing w:line="360" w:lineRule="exact"/>
        <w:jc w:val="center"/>
        <w:rPr>
          <w:rFonts w:ascii="宋体" w:cs="Calibri"/>
          <w:sz w:val="36"/>
          <w:szCs w:val="36"/>
        </w:rPr>
      </w:pPr>
      <w:r>
        <w:rPr>
          <w:rFonts w:ascii="宋体" w:hAnsi="宋体" w:cs="Calibri" w:hint="eastAsia"/>
          <w:sz w:val="36"/>
          <w:szCs w:val="36"/>
        </w:rPr>
        <w:t>朱显平教授学术事迹</w:t>
      </w: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r>
        <w:rPr>
          <w:rFonts w:ascii="仿宋" w:eastAsia="仿宋" w:hAnsi="仿宋" w:hint="eastAsia"/>
          <w:sz w:val="30"/>
          <w:szCs w:val="30"/>
        </w:rPr>
        <w:t>东北亚学院朱显平教授长期从事区域经济学及中俄区域合作的教学和研究，在推动中外学术合作方面取得重要成效。他促成我校与俄罗斯科学院共建中俄合作研究中心，成为国内迄今唯一经俄罗斯科学院主席团批准挂牌的中俄合作结构，全国政协陈元副主席先后</w:t>
      </w:r>
      <w:r>
        <w:rPr>
          <w:rFonts w:ascii="仿宋" w:eastAsia="仿宋" w:hAnsi="仿宋"/>
          <w:sz w:val="30"/>
          <w:szCs w:val="30"/>
        </w:rPr>
        <w:t>5</w:t>
      </w:r>
      <w:r>
        <w:rPr>
          <w:rFonts w:ascii="仿宋" w:eastAsia="仿宋" w:hAnsi="仿宋" w:hint="eastAsia"/>
          <w:sz w:val="30"/>
          <w:szCs w:val="30"/>
        </w:rPr>
        <w:t>次批示，</w:t>
      </w:r>
      <w:r w:rsidRPr="0038460C">
        <w:rPr>
          <w:rFonts w:ascii="仿宋" w:eastAsia="仿宋" w:hAnsi="仿宋" w:hint="eastAsia"/>
          <w:sz w:val="30"/>
          <w:szCs w:val="30"/>
        </w:rPr>
        <w:t>要</w:t>
      </w:r>
      <w:r>
        <w:rPr>
          <w:rFonts w:ascii="仿宋" w:eastAsia="仿宋" w:hAnsi="仿宋" w:hint="eastAsia"/>
          <w:sz w:val="30"/>
          <w:szCs w:val="30"/>
        </w:rPr>
        <w:t>求</w:t>
      </w:r>
      <w:r w:rsidRPr="0038460C">
        <w:rPr>
          <w:rFonts w:ascii="仿宋" w:eastAsia="仿宋" w:hAnsi="仿宋" w:hint="eastAsia"/>
          <w:sz w:val="30"/>
          <w:szCs w:val="30"/>
        </w:rPr>
        <w:t>中国对外友协和国际友好联络会支持和配合</w:t>
      </w:r>
      <w:r>
        <w:rPr>
          <w:rFonts w:ascii="仿宋" w:eastAsia="仿宋" w:hAnsi="仿宋" w:hint="eastAsia"/>
          <w:sz w:val="30"/>
          <w:szCs w:val="30"/>
        </w:rPr>
        <w:t>中心工作；另与俄罗斯军科院共建的中俄中心系俄军方唯一与我国共建的研究机构，中央军委联合参谋部和政治工作部主要领导分别作出指示，</w:t>
      </w:r>
      <w:r w:rsidRPr="0038460C">
        <w:rPr>
          <w:rFonts w:ascii="仿宋" w:eastAsia="仿宋" w:hAnsi="仿宋" w:hint="eastAsia"/>
          <w:sz w:val="30"/>
          <w:szCs w:val="30"/>
        </w:rPr>
        <w:t>要</w:t>
      </w:r>
      <w:r>
        <w:rPr>
          <w:rFonts w:ascii="仿宋" w:eastAsia="仿宋" w:hAnsi="仿宋" w:hint="eastAsia"/>
          <w:sz w:val="30"/>
          <w:szCs w:val="30"/>
        </w:rPr>
        <w:t>求军委</w:t>
      </w:r>
      <w:r w:rsidRPr="0038460C">
        <w:rPr>
          <w:rFonts w:ascii="仿宋" w:eastAsia="仿宋" w:hAnsi="仿宋" w:hint="eastAsia"/>
          <w:sz w:val="30"/>
          <w:szCs w:val="30"/>
        </w:rPr>
        <w:t>部门参与和协助中心</w:t>
      </w:r>
      <w:r>
        <w:rPr>
          <w:rFonts w:ascii="仿宋" w:eastAsia="仿宋" w:hAnsi="仿宋" w:hint="eastAsia"/>
          <w:sz w:val="30"/>
          <w:szCs w:val="30"/>
        </w:rPr>
        <w:t>工作。作为机构的中方负责人，朱显平教授作出了重要贡献。主办的国际会议获得了习近平总书记和俄罗斯总统普京的高度评价，切实</w:t>
      </w:r>
      <w:bookmarkStart w:id="0" w:name="_GoBack"/>
      <w:bookmarkEnd w:id="0"/>
      <w:r>
        <w:rPr>
          <w:rFonts w:ascii="仿宋" w:eastAsia="仿宋" w:hAnsi="仿宋" w:hint="eastAsia"/>
          <w:sz w:val="30"/>
          <w:szCs w:val="30"/>
        </w:rPr>
        <w:t>提高了我校在国际合作领域的影响力。</w:t>
      </w: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rFonts w:ascii="仿宋" w:eastAsia="仿宋" w:hAnsi="仿宋"/>
          <w:sz w:val="30"/>
          <w:szCs w:val="30"/>
        </w:rPr>
      </w:pPr>
    </w:p>
    <w:p w:rsidR="00082AE8" w:rsidRPr="00EE4314" w:rsidRDefault="00082AE8" w:rsidP="00ED0FB0">
      <w:pPr>
        <w:spacing w:line="360" w:lineRule="auto"/>
        <w:ind w:firstLineChars="200" w:firstLine="31680"/>
        <w:rPr>
          <w:rFonts w:ascii="仿宋" w:eastAsia="仿宋" w:hAnsi="仿宋"/>
          <w:sz w:val="30"/>
          <w:szCs w:val="30"/>
        </w:rPr>
      </w:pPr>
    </w:p>
    <w:p w:rsidR="00082AE8" w:rsidRDefault="00082AE8" w:rsidP="00ED0FB0">
      <w:pPr>
        <w:spacing w:line="360" w:lineRule="auto"/>
        <w:ind w:firstLineChars="200" w:firstLine="31680"/>
        <w:rPr>
          <w:sz w:val="24"/>
          <w:szCs w:val="24"/>
        </w:rPr>
      </w:pPr>
    </w:p>
    <w:p w:rsidR="00082AE8" w:rsidRDefault="00082AE8" w:rsidP="00D76012">
      <w:pPr>
        <w:spacing w:line="360" w:lineRule="auto"/>
        <w:ind w:firstLineChars="200" w:firstLine="31680"/>
        <w:rPr>
          <w:sz w:val="24"/>
          <w:szCs w:val="24"/>
        </w:rPr>
      </w:pPr>
    </w:p>
    <w:sectPr w:rsidR="00082AE8" w:rsidSect="004F33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AE8" w:rsidRDefault="00082AE8" w:rsidP="00A15EDA">
      <w:r>
        <w:separator/>
      </w:r>
    </w:p>
  </w:endnote>
  <w:endnote w:type="continuationSeparator" w:id="0">
    <w:p w:rsidR="00082AE8" w:rsidRDefault="00082AE8" w:rsidP="00A15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AE8" w:rsidRDefault="00082AE8" w:rsidP="00A15EDA">
      <w:r>
        <w:separator/>
      </w:r>
    </w:p>
  </w:footnote>
  <w:footnote w:type="continuationSeparator" w:id="0">
    <w:p w:rsidR="00082AE8" w:rsidRDefault="00082AE8" w:rsidP="00A15E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3BC"/>
    <w:rsid w:val="0001100E"/>
    <w:rsid w:val="000173F8"/>
    <w:rsid w:val="000656F2"/>
    <w:rsid w:val="00082AE8"/>
    <w:rsid w:val="000B5DDE"/>
    <w:rsid w:val="000C0AE4"/>
    <w:rsid w:val="000E52AE"/>
    <w:rsid w:val="000E61ED"/>
    <w:rsid w:val="000F5F44"/>
    <w:rsid w:val="00163710"/>
    <w:rsid w:val="001838D7"/>
    <w:rsid w:val="00191F13"/>
    <w:rsid w:val="001A46FA"/>
    <w:rsid w:val="001C4933"/>
    <w:rsid w:val="001D7952"/>
    <w:rsid w:val="001E0F9B"/>
    <w:rsid w:val="001E4ED7"/>
    <w:rsid w:val="001F78E6"/>
    <w:rsid w:val="002156E3"/>
    <w:rsid w:val="00221AD6"/>
    <w:rsid w:val="00226039"/>
    <w:rsid w:val="00284977"/>
    <w:rsid w:val="00294203"/>
    <w:rsid w:val="002A6511"/>
    <w:rsid w:val="002D03E3"/>
    <w:rsid w:val="00352CDB"/>
    <w:rsid w:val="0038460C"/>
    <w:rsid w:val="003857A2"/>
    <w:rsid w:val="00387B5F"/>
    <w:rsid w:val="0039178E"/>
    <w:rsid w:val="003A1790"/>
    <w:rsid w:val="003A5BE2"/>
    <w:rsid w:val="003C7832"/>
    <w:rsid w:val="003E13BC"/>
    <w:rsid w:val="003F2615"/>
    <w:rsid w:val="00403C41"/>
    <w:rsid w:val="0042450A"/>
    <w:rsid w:val="00435D78"/>
    <w:rsid w:val="00445C3E"/>
    <w:rsid w:val="0046094F"/>
    <w:rsid w:val="00467307"/>
    <w:rsid w:val="0047326F"/>
    <w:rsid w:val="00474077"/>
    <w:rsid w:val="0049517E"/>
    <w:rsid w:val="004A15C2"/>
    <w:rsid w:val="004D28D3"/>
    <w:rsid w:val="004F33ED"/>
    <w:rsid w:val="004F7A6D"/>
    <w:rsid w:val="00527C21"/>
    <w:rsid w:val="00533200"/>
    <w:rsid w:val="005622BC"/>
    <w:rsid w:val="00566E37"/>
    <w:rsid w:val="00570FBC"/>
    <w:rsid w:val="00584256"/>
    <w:rsid w:val="005D26D5"/>
    <w:rsid w:val="006134DE"/>
    <w:rsid w:val="00615805"/>
    <w:rsid w:val="00617D19"/>
    <w:rsid w:val="00634C44"/>
    <w:rsid w:val="0064332C"/>
    <w:rsid w:val="0065139F"/>
    <w:rsid w:val="0066232E"/>
    <w:rsid w:val="00694EEF"/>
    <w:rsid w:val="006E47D7"/>
    <w:rsid w:val="006F3BEE"/>
    <w:rsid w:val="00701416"/>
    <w:rsid w:val="00721E44"/>
    <w:rsid w:val="0072403E"/>
    <w:rsid w:val="0072786C"/>
    <w:rsid w:val="00776AA7"/>
    <w:rsid w:val="007C3EAD"/>
    <w:rsid w:val="007E0DB9"/>
    <w:rsid w:val="007E3342"/>
    <w:rsid w:val="007E7C2B"/>
    <w:rsid w:val="007F4270"/>
    <w:rsid w:val="008313DF"/>
    <w:rsid w:val="00833DF7"/>
    <w:rsid w:val="00837BC1"/>
    <w:rsid w:val="00850C5C"/>
    <w:rsid w:val="00854526"/>
    <w:rsid w:val="0086567D"/>
    <w:rsid w:val="00875D95"/>
    <w:rsid w:val="00893A0D"/>
    <w:rsid w:val="00897D1B"/>
    <w:rsid w:val="008B445F"/>
    <w:rsid w:val="008E6844"/>
    <w:rsid w:val="008F4A06"/>
    <w:rsid w:val="00923A6D"/>
    <w:rsid w:val="00940815"/>
    <w:rsid w:val="00955421"/>
    <w:rsid w:val="009931C7"/>
    <w:rsid w:val="009B122A"/>
    <w:rsid w:val="009C61B6"/>
    <w:rsid w:val="009D4DE5"/>
    <w:rsid w:val="009E2082"/>
    <w:rsid w:val="009F29E2"/>
    <w:rsid w:val="00A0030E"/>
    <w:rsid w:val="00A02203"/>
    <w:rsid w:val="00A15EDA"/>
    <w:rsid w:val="00A65A6D"/>
    <w:rsid w:val="00A751A4"/>
    <w:rsid w:val="00A924FA"/>
    <w:rsid w:val="00AD3620"/>
    <w:rsid w:val="00AD3857"/>
    <w:rsid w:val="00AF1A49"/>
    <w:rsid w:val="00AF26A5"/>
    <w:rsid w:val="00B34A91"/>
    <w:rsid w:val="00B82AFF"/>
    <w:rsid w:val="00B925CD"/>
    <w:rsid w:val="00BE3E8B"/>
    <w:rsid w:val="00BF60B1"/>
    <w:rsid w:val="00C10B02"/>
    <w:rsid w:val="00C15577"/>
    <w:rsid w:val="00C17040"/>
    <w:rsid w:val="00C5206C"/>
    <w:rsid w:val="00C57A8B"/>
    <w:rsid w:val="00C8684D"/>
    <w:rsid w:val="00C96FED"/>
    <w:rsid w:val="00CA23AF"/>
    <w:rsid w:val="00CA2E14"/>
    <w:rsid w:val="00CA5A43"/>
    <w:rsid w:val="00CC54E4"/>
    <w:rsid w:val="00D007FA"/>
    <w:rsid w:val="00D01B0B"/>
    <w:rsid w:val="00D303C6"/>
    <w:rsid w:val="00D37E05"/>
    <w:rsid w:val="00D5152B"/>
    <w:rsid w:val="00D67317"/>
    <w:rsid w:val="00D678A5"/>
    <w:rsid w:val="00D75806"/>
    <w:rsid w:val="00D76012"/>
    <w:rsid w:val="00DC6F64"/>
    <w:rsid w:val="00DF1433"/>
    <w:rsid w:val="00E22CEB"/>
    <w:rsid w:val="00E30BC6"/>
    <w:rsid w:val="00E51AB8"/>
    <w:rsid w:val="00E624FC"/>
    <w:rsid w:val="00E756F3"/>
    <w:rsid w:val="00E95F6B"/>
    <w:rsid w:val="00ED0FB0"/>
    <w:rsid w:val="00EE4314"/>
    <w:rsid w:val="00EF255A"/>
    <w:rsid w:val="00F56D0E"/>
    <w:rsid w:val="00F577D2"/>
    <w:rsid w:val="00FC4ABE"/>
    <w:rsid w:val="00FD051C"/>
    <w:rsid w:val="00FD1D9A"/>
    <w:rsid w:val="00FD7FAB"/>
    <w:rsid w:val="00FE15DB"/>
    <w:rsid w:val="00FE1B1B"/>
    <w:rsid w:val="00FF6642"/>
    <w:rsid w:val="00FF671C"/>
    <w:rsid w:val="00FF7C8B"/>
    <w:rsid w:val="0FF164E2"/>
    <w:rsid w:val="1C241586"/>
    <w:rsid w:val="52AE7E80"/>
    <w:rsid w:val="53214135"/>
    <w:rsid w:val="647074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ED"/>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33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F33ED"/>
    <w:rPr>
      <w:rFonts w:cs="Times New Roman"/>
      <w:sz w:val="18"/>
      <w:szCs w:val="18"/>
    </w:rPr>
  </w:style>
  <w:style w:type="paragraph" w:styleId="Header">
    <w:name w:val="header"/>
    <w:basedOn w:val="Normal"/>
    <w:link w:val="HeaderChar"/>
    <w:uiPriority w:val="99"/>
    <w:rsid w:val="004F33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F33ED"/>
    <w:rPr>
      <w:rFonts w:cs="Times New Roman"/>
      <w:sz w:val="18"/>
      <w:szCs w:val="18"/>
    </w:rPr>
  </w:style>
  <w:style w:type="paragraph" w:styleId="NormalWeb">
    <w:name w:val="Normal (Web)"/>
    <w:basedOn w:val="Normal"/>
    <w:uiPriority w:val="99"/>
    <w:rsid w:val="004F33ED"/>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257</Words>
  <Characters>1467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2021-06-23T05:53:00Z</dcterms:created>
  <dc:creator>lenovo</dc:creator>
  <lastModifiedBy>jhuser</lastModifiedBy>
  <dcterms:modified xsi:type="dcterms:W3CDTF">2021-06-24T08:28:00Z</dcterms:modified>
  <revision>4</revision>
  <dc:title>朱显平教授学术事迹</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