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60" w:lineRule="auto"/>
        <w:rPr>
          <w:rFonts w:ascii="宋体" w:hAnsi="宋体"/>
          <w:b/>
          <w:bCs/>
          <w:sz w:val="28"/>
          <w:szCs w:val="28"/>
        </w:rPr>
      </w:pPr>
      <w:r>
        <w:rPr>
          <w:rFonts w:hint="eastAsia" w:ascii="宋体" w:hAnsi="宋体"/>
          <w:b/>
          <w:bCs/>
          <w:sz w:val="28"/>
          <w:szCs w:val="28"/>
        </w:rPr>
        <w:t>模板</w:t>
      </w:r>
      <w:r>
        <w:rPr>
          <w:rFonts w:hint="eastAsia" w:ascii="宋体" w:hAnsi="宋体"/>
          <w:b/>
          <w:bCs/>
          <w:sz w:val="28"/>
          <w:szCs w:val="28"/>
          <w:lang w:val="en-US" w:eastAsia="zh-CN"/>
        </w:rPr>
        <w:t>6</w:t>
      </w:r>
      <w:r>
        <w:rPr>
          <w:rFonts w:hint="eastAsia" w:ascii="宋体" w:hAnsi="宋体"/>
          <w:b/>
          <w:bCs/>
          <w:sz w:val="28"/>
          <w:szCs w:val="28"/>
        </w:rPr>
        <w:t>：学术刊物简介：</w:t>
      </w:r>
    </w:p>
    <w:p>
      <w:pPr>
        <w:jc w:val="center"/>
        <w:rPr>
          <w:rFonts w:ascii="宋体" w:hAnsi="宋体"/>
          <w:sz w:val="28"/>
          <w:szCs w:val="28"/>
        </w:rPr>
      </w:pPr>
      <w:r>
        <w:rPr>
          <w:rFonts w:hint="eastAsia" w:ascii="宋体" w:hAnsi="宋体"/>
          <w:sz w:val="28"/>
          <w:szCs w:val="28"/>
        </w:rPr>
        <w:t>学术刊物名称：×××</w:t>
      </w:r>
    </w:p>
    <w:p>
      <w:pPr>
        <w:rPr>
          <w:rFonts w:ascii="宋体" w:hAnsi="宋体"/>
          <w:sz w:val="28"/>
          <w:szCs w:val="28"/>
        </w:rPr>
      </w:pPr>
      <w:r>
        <w:rPr>
          <w:rFonts w:hint="eastAsia" w:ascii="宋体" w:hAnsi="宋体"/>
          <w:sz w:val="28"/>
          <w:szCs w:val="28"/>
        </w:rPr>
        <w:t>正文部分：</w:t>
      </w:r>
    </w:p>
    <w:p>
      <w:pPr>
        <w:rPr>
          <w:rFonts w:ascii="宋体" w:hAnsi="宋体"/>
          <w:sz w:val="28"/>
          <w:szCs w:val="28"/>
        </w:rPr>
      </w:pPr>
      <w:r>
        <w:rPr>
          <w:rFonts w:hint="eastAsia" w:ascii="宋体" w:hAnsi="宋体"/>
          <w:sz w:val="28"/>
          <w:szCs w:val="28"/>
        </w:rPr>
        <w:t>一、历史沿革</w:t>
      </w:r>
    </w:p>
    <w:p>
      <w:pPr>
        <w:rPr>
          <w:rFonts w:ascii="宋体" w:hAnsi="宋体"/>
          <w:sz w:val="28"/>
          <w:szCs w:val="28"/>
        </w:rPr>
      </w:pPr>
      <w:r>
        <w:rPr>
          <w:rFonts w:hint="eastAsia" w:ascii="宋体" w:hAnsi="宋体"/>
          <w:sz w:val="28"/>
          <w:szCs w:val="28"/>
        </w:rPr>
        <w:t>二、简况</w:t>
      </w:r>
    </w:p>
    <w:p>
      <w:pPr>
        <w:rPr>
          <w:rFonts w:ascii="宋体" w:hAnsi="宋体"/>
          <w:sz w:val="28"/>
          <w:szCs w:val="28"/>
        </w:rPr>
      </w:pPr>
      <w:r>
        <w:rPr>
          <w:rFonts w:hint="eastAsia" w:ascii="宋体" w:hAnsi="宋体"/>
          <w:sz w:val="28"/>
          <w:szCs w:val="28"/>
        </w:rPr>
        <w:t>三、工作成绩</w:t>
      </w:r>
    </w:p>
    <w:p>
      <w:pPr>
        <w:spacing w:line="360" w:lineRule="auto"/>
        <w:rPr>
          <w:rFonts w:ascii="宋体" w:hAnsi="宋体"/>
          <w:sz w:val="28"/>
          <w:szCs w:val="28"/>
        </w:rPr>
      </w:pPr>
    </w:p>
    <w:p>
      <w:pPr>
        <w:spacing w:line="360" w:lineRule="auto"/>
        <w:jc w:val="center"/>
        <w:rPr>
          <w:rFonts w:ascii="宋体" w:hAnsi="宋体"/>
          <w:b/>
          <w:color w:val="000000"/>
          <w:sz w:val="24"/>
        </w:rPr>
      </w:pPr>
      <w:r>
        <w:rPr>
          <w:rFonts w:hint="eastAsia" w:ascii="宋体" w:hAnsi="宋体"/>
          <w:b/>
          <w:color w:val="000000"/>
          <w:sz w:val="24"/>
        </w:rPr>
        <w:t>《吉林大学社会科学学报》</w:t>
      </w:r>
    </w:p>
    <w:p>
      <w:pPr>
        <w:spacing w:line="360" w:lineRule="auto"/>
        <w:ind w:firstLine="472" w:firstLineChars="196"/>
        <w:rPr>
          <w:rFonts w:ascii="宋体" w:hAnsi="宋体"/>
          <w:b/>
          <w:color w:val="000000"/>
          <w:sz w:val="24"/>
        </w:rPr>
      </w:pPr>
      <w:r>
        <w:rPr>
          <w:rFonts w:hint="eastAsia" w:ascii="宋体" w:hAnsi="宋体"/>
          <w:b/>
          <w:color w:val="000000"/>
          <w:sz w:val="24"/>
        </w:rPr>
        <w:t>一、历史沿革</w:t>
      </w:r>
    </w:p>
    <w:p>
      <w:pPr>
        <w:spacing w:line="360" w:lineRule="auto"/>
        <w:ind w:firstLine="480" w:firstLineChars="200"/>
        <w:rPr>
          <w:rFonts w:ascii="宋体" w:hAnsi="宋体"/>
          <w:color w:val="000000"/>
          <w:sz w:val="24"/>
        </w:rPr>
      </w:pPr>
      <w:r>
        <w:rPr>
          <w:rFonts w:hint="eastAsia" w:ascii="宋体" w:hAnsi="宋体"/>
          <w:color w:val="000000"/>
          <w:sz w:val="24"/>
        </w:rPr>
        <w:t>《吉林大学社会科学学报》是吉林大学主办的哲学社会科学综合性学术理论刊物，创刊于1955年7月，是在著名教育家、东北人民大学校长匡亚明先生的亲自指导下创办的。2003年，在教育部启动的“高校哲学社会科学名刊建设工程”评选活动中，成为教育部首批11家“名刊”之一。</w:t>
      </w:r>
    </w:p>
    <w:p>
      <w:pPr>
        <w:spacing w:line="360" w:lineRule="auto"/>
        <w:ind w:firstLine="472" w:firstLineChars="196"/>
        <w:rPr>
          <w:rFonts w:ascii="宋体" w:hAnsi="宋体"/>
          <w:b/>
          <w:color w:val="000000"/>
          <w:sz w:val="24"/>
        </w:rPr>
      </w:pPr>
      <w:r>
        <w:rPr>
          <w:rFonts w:hint="eastAsia" w:ascii="宋体" w:hAnsi="宋体"/>
          <w:b/>
          <w:color w:val="000000"/>
          <w:sz w:val="24"/>
        </w:rPr>
        <w:t>二、简况</w:t>
      </w:r>
    </w:p>
    <w:p>
      <w:pPr>
        <w:spacing w:line="360" w:lineRule="auto"/>
        <w:ind w:firstLine="480" w:firstLineChars="200"/>
        <w:rPr>
          <w:rFonts w:ascii="宋体" w:hAnsi="宋体"/>
          <w:color w:val="000000"/>
          <w:sz w:val="24"/>
        </w:rPr>
      </w:pPr>
      <w:r>
        <w:rPr>
          <w:rFonts w:hint="eastAsia" w:ascii="宋体" w:hAnsi="宋体"/>
          <w:color w:val="000000"/>
          <w:sz w:val="24"/>
        </w:rPr>
        <w:t>《吉林大学社会科学学报》以弘扬先进文化、繁荣学术研究为己任，坚持正确的政治方向和学术导向，倡导学术观点创新、学术体系创新和研究方法创新，努力为提出新理论、形成新学派、取得新成果搭建理论平台。在办刊上注重思想性与学术性的统一、理论性与实践性的统一、科学性与时代性的统一，既倾心探索学术理论，又密切把握时代脉搏，追踪学术热点，关注理论前沿，走一条理论联系实际、学术结合时代之路，形成了鲜明的风格和特色，以高雅的学术品位和严谨的学风，在学术界和期刊界赢得了良好的声誉，取得了较好的社会效益。</w:t>
      </w:r>
    </w:p>
    <w:p>
      <w:pPr>
        <w:spacing w:line="360" w:lineRule="auto"/>
        <w:ind w:firstLine="480" w:firstLineChars="200"/>
        <w:rPr>
          <w:rFonts w:ascii="宋体" w:hAnsi="宋体"/>
          <w:b/>
          <w:color w:val="000000"/>
          <w:sz w:val="24"/>
        </w:rPr>
      </w:pPr>
      <w:r>
        <w:rPr>
          <w:rFonts w:hint="eastAsia" w:ascii="宋体" w:hAnsi="宋体"/>
          <w:color w:val="000000"/>
          <w:sz w:val="24"/>
        </w:rPr>
        <w:t>《吉林大学社会科学学报》依托学校的学科优势，开设“探索当代中国哲学的道路”、“政治文明”“国家建设与社会治理”、“东北亚区域经济与社会发展”、“数量经济理论及应用”、“全球化与法律治理”、“边疆考古与华夏文明”、“中国美学发展研究”等特色栏目，面向国内外学者征集优秀稿件，努力把特色专栏办成反映本领域最新研究成果的前沿阵地。《吉林大学社会科学学报》遵循吉林大学“求实创新，励志图强”的校训，倡导潜心钻研、实事求是、厚积薄发的严谨学风，以质量求生存，以特色谋发展，立足本校，面向国内外，刊发了一批在学术界产生广泛影响的学术力作，形成了鲜明的风格和特色。</w:t>
      </w:r>
      <w:r>
        <w:rPr>
          <w:rFonts w:hint="eastAsia" w:ascii="宋体" w:hAnsi="宋体"/>
          <w:color w:val="000000"/>
          <w:sz w:val="24"/>
        </w:rPr>
        <w:br w:type="textWrapping"/>
      </w:r>
      <w:r>
        <w:rPr>
          <w:rFonts w:hint="eastAsia" w:ascii="宋体" w:hAnsi="宋体"/>
          <w:color w:val="000000"/>
          <w:sz w:val="24"/>
        </w:rPr>
        <w:t xml:space="preserve">    </w:t>
      </w:r>
      <w:r>
        <w:rPr>
          <w:rFonts w:hint="eastAsia" w:ascii="宋体" w:hAnsi="宋体"/>
          <w:b/>
          <w:color w:val="000000"/>
          <w:sz w:val="24"/>
        </w:rPr>
        <w:t>三、工作成绩</w:t>
      </w:r>
    </w:p>
    <w:p>
      <w:pPr>
        <w:spacing w:line="360" w:lineRule="auto"/>
        <w:ind w:firstLine="480" w:firstLineChars="200"/>
        <w:rPr>
          <w:rFonts w:ascii="宋体" w:hAnsi="宋体"/>
          <w:color w:val="000000"/>
          <w:sz w:val="24"/>
        </w:rPr>
      </w:pPr>
      <w:r>
        <w:rPr>
          <w:rFonts w:hint="eastAsia" w:ascii="宋体" w:hAnsi="宋体"/>
          <w:color w:val="000000"/>
          <w:sz w:val="24"/>
        </w:rPr>
        <w:t>《吉林大学社会科学学报》不仅是“中国人文社会科学核心期刊”、全国“综合性人文社会科学类核心期刊”、“中文社会科学引文索引（CSSCI）”来源期刊、“中国人文社会科学引文数据库”来源期刊，还多次获得各种期刊奖项。2001年入选新闻出版总署“中国期刊方阵”，被列为“双效期刊”。尤其是在教育部启动的名刊建设工程中，经过专家的严格评审，于2003年底首批入选“教育部高校哲学社会科学名刊建设工程”。2007年，在首届吉林省新闻出版奖（精品奖）评奖活动中，荣获“期刊精品奖”。</w:t>
      </w:r>
    </w:p>
    <w:p>
      <w:pPr>
        <w:spacing w:line="360" w:lineRule="auto"/>
        <w:ind w:firstLine="480" w:firstLineChars="200"/>
        <w:rPr>
          <w:rFonts w:ascii="宋体" w:hAnsi="宋体"/>
          <w:color w:val="000000"/>
          <w:sz w:val="24"/>
        </w:rPr>
      </w:pPr>
      <w:r>
        <w:rPr>
          <w:rFonts w:hint="eastAsia" w:ascii="宋体" w:hAnsi="宋体"/>
          <w:color w:val="000000"/>
          <w:sz w:val="24"/>
        </w:rPr>
        <w:t>《吉林大学社会科学学报》首批入选教育部“名刊工程”后，按照教育部名刊工程实施方案，认真研究了国内外学术理论刊物的一些富有特色的办刊理念和办刊机制，在吸收他人先进办刊经验的基础上，根据吉林大学的实际情况和学科发展特点，在办刊理念和办刊思路上进行了探索，初步形成了以学术为本、以创新为先、以精品为上、以学科为重的办刊理念，以及依托学校的学科优势，面向国内外学术界，开放办刊，创办国内一流的特色栏目的办刊思路。《吉林大学社会科学学报》在办刊理念、办刊机制上发生了较大的变化，学报的学术质量、编辑质量、装帧质量都迈上了一个新的台阶，文摘率和引用率都位列全国高校文科学报的前列，学术地位和学术影响进一步提升。</w:t>
      </w:r>
    </w:p>
    <w:p>
      <w:pPr>
        <w:spacing w:line="360" w:lineRule="auto"/>
        <w:rPr>
          <w:rFonts w:ascii="宋体" w:hAnsi="宋体"/>
          <w:color w:val="000000"/>
          <w:sz w:val="24"/>
        </w:rPr>
      </w:pPr>
    </w:p>
    <w:p>
      <w:pP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decorative"/>
    <w:pitch w:val="default"/>
    <w:sig w:usb0="00000000" w:usb1="00000000" w:usb2="00000000" w:usb3="00000000" w:csb0="00040001" w:csb1="00000000"/>
  </w:font>
  <w:font w:name="Calibri Light">
    <w:altName w:val="Times New Roman"/>
    <w:panose1 w:val="00000000000000000000"/>
    <w:charset w:val="00"/>
    <w:family w:val="modern"/>
    <w:pitch w:val="default"/>
    <w:sig w:usb0="00000000" w:usb1="00000000" w:usb2="00000000" w:usb3="00000000" w:csb0="00000000" w:csb1="00000000"/>
  </w:font>
  <w:font w:name="ˎ̥">
    <w:altName w:val="Times New Roman"/>
    <w:panose1 w:val="00000000000000000000"/>
    <w:charset w:val="00"/>
    <w:family w:val="roman"/>
    <w:pitch w:val="default"/>
    <w:sig w:usb0="00000000" w:usb1="00000000" w:usb2="00000000" w:usb3="00000000" w:csb0="00040001" w:csb1="00000000"/>
  </w:font>
  <w:font w:name="Calibri Light">
    <w:altName w:val="Times New Roman"/>
    <w:panose1 w:val="00000000000000000000"/>
    <w:charset w:val="00"/>
    <w:family w:val="swiss"/>
    <w:pitch w:val="default"/>
    <w:sig w:usb0="00000000" w:usb1="00000000" w:usb2="00000000" w:usb3="00000000" w:csb0="00000000" w:csb1="00000000"/>
  </w:font>
  <w:font w:name="ˎ̥">
    <w:altName w:val="Times New Roman"/>
    <w:panose1 w:val="00000000000000000000"/>
    <w:charset w:val="00"/>
    <w:family w:val="modern"/>
    <w:pitch w:val="default"/>
    <w:sig w:usb0="00000000" w:usb1="00000000" w:usb2="00000000" w:usb3="00000000" w:csb0="00040001" w:csb1="00000000"/>
  </w:font>
  <w:font w:name="Calibri Light">
    <w:altName w:val="Times New Roman"/>
    <w:panose1 w:val="00000000000000000000"/>
    <w:charset w:val="00"/>
    <w:family w:val="decorative"/>
    <w:pitch w:val="default"/>
    <w:sig w:usb0="00000000" w:usb1="00000000" w:usb2="00000000" w:usb3="00000000" w:csb0="00000000" w:csb1="00000000"/>
  </w:font>
  <w:font w:name="仿宋_GB2312">
    <w:altName w:val="仿宋"/>
    <w:panose1 w:val="02010609030101010101"/>
    <w:charset w:val="86"/>
    <w:family w:val="roman"/>
    <w:pitch w:val="default"/>
    <w:sig w:usb0="00000000" w:usb1="00000000" w:usb2="00000010" w:usb3="00000000" w:csb0="00040000" w:csb1="0000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黑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黑体">
    <w:panose1 w:val="02010609060101010101"/>
    <w:charset w:val="86"/>
    <w:family w:val="decorative"/>
    <w:pitch w:val="default"/>
    <w:sig w:usb0="800002BF" w:usb1="38CF7CFA" w:usb2="00000016" w:usb3="00000000" w:csb0="00040001" w:csb1="00000000"/>
  </w:font>
  <w:font w:name="ˎ̥">
    <w:altName w:val="Times New Roman"/>
    <w:panose1 w:val="00000000000000000000"/>
    <w:charset w:val="00"/>
    <w:family w:val="swiss"/>
    <w:pitch w:val="default"/>
    <w:sig w:usb0="00000000" w:usb1="00000000" w:usb2="00000000"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C00350"/>
    <w:rsid w:val="49C0035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2016-04-25T06:18:00Z</dcterms:created>
  <dc:creator>Administrator</dc:creator>
  <cp:lastModifiedBy>Administrator</cp:lastModifiedBy>
  <dcterms:modified xsi:type="dcterms:W3CDTF">2016-04-25T06:18:40Z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