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360" w:lineRule="auto"/>
        <w:rPr>
          <w:rFonts w:ascii="宋体" w:hAnsi="宋体"/>
          <w:b/>
          <w:bCs/>
          <w:sz w:val="28"/>
          <w:szCs w:val="28"/>
        </w:rPr>
      </w:pPr>
      <w:r>
        <w:rPr>
          <w:rFonts w:hint="eastAsia" w:ascii="宋体" w:hAnsi="宋体"/>
          <w:b/>
          <w:bCs/>
          <w:sz w:val="28"/>
          <w:szCs w:val="28"/>
        </w:rPr>
        <w:t>模板3：重大项目简介：</w:t>
      </w:r>
    </w:p>
    <w:p>
      <w:pPr>
        <w:spacing w:line="360" w:lineRule="auto"/>
        <w:ind w:firstLine="560" w:firstLineChars="200"/>
        <w:rPr>
          <w:rFonts w:ascii="宋体" w:hAnsi="宋体"/>
          <w:sz w:val="28"/>
          <w:szCs w:val="28"/>
        </w:rPr>
      </w:pPr>
      <w:r>
        <w:rPr>
          <w:rFonts w:hint="eastAsia" w:ascii="宋体" w:hAnsi="宋体"/>
          <w:sz w:val="28"/>
          <w:szCs w:val="28"/>
        </w:rPr>
        <w:t>1、重大项目自然情况介绍，主要包括：</w:t>
      </w:r>
    </w:p>
    <w:p>
      <w:pPr>
        <w:spacing w:line="360" w:lineRule="auto"/>
        <w:ind w:firstLine="560" w:firstLineChars="200"/>
        <w:rPr>
          <w:rFonts w:ascii="宋体" w:hAnsi="宋体"/>
          <w:sz w:val="28"/>
          <w:szCs w:val="28"/>
        </w:rPr>
      </w:pPr>
      <w:r>
        <w:rPr>
          <w:rFonts w:hint="eastAsia" w:ascii="宋体" w:hAnsi="宋体"/>
          <w:sz w:val="28"/>
          <w:szCs w:val="28"/>
        </w:rPr>
        <w:t>（1）项目名称</w:t>
      </w:r>
    </w:p>
    <w:p>
      <w:pPr>
        <w:spacing w:line="360" w:lineRule="auto"/>
        <w:ind w:firstLine="560" w:firstLineChars="200"/>
        <w:rPr>
          <w:rFonts w:ascii="宋体" w:hAnsi="宋体"/>
          <w:sz w:val="28"/>
          <w:szCs w:val="28"/>
        </w:rPr>
      </w:pPr>
      <w:r>
        <w:rPr>
          <w:rFonts w:hint="eastAsia" w:ascii="宋体" w:hAnsi="宋体"/>
          <w:sz w:val="28"/>
          <w:szCs w:val="28"/>
        </w:rPr>
        <w:t>（2）项目编号</w:t>
      </w:r>
    </w:p>
    <w:p>
      <w:pPr>
        <w:spacing w:line="360" w:lineRule="auto"/>
        <w:ind w:firstLine="560" w:firstLineChars="200"/>
        <w:rPr>
          <w:rFonts w:ascii="宋体" w:hAnsi="宋体"/>
          <w:sz w:val="28"/>
          <w:szCs w:val="28"/>
        </w:rPr>
      </w:pPr>
      <w:r>
        <w:rPr>
          <w:rFonts w:hint="eastAsia" w:ascii="宋体" w:hAnsi="宋体"/>
          <w:sz w:val="28"/>
          <w:szCs w:val="28"/>
        </w:rPr>
        <w:t>（3）来源单位</w:t>
      </w:r>
    </w:p>
    <w:p>
      <w:pPr>
        <w:spacing w:line="360" w:lineRule="auto"/>
        <w:ind w:firstLine="560" w:firstLineChars="200"/>
        <w:rPr>
          <w:rFonts w:ascii="宋体" w:hAnsi="宋体"/>
          <w:sz w:val="28"/>
          <w:szCs w:val="28"/>
        </w:rPr>
      </w:pPr>
      <w:r>
        <w:rPr>
          <w:rFonts w:hint="eastAsia" w:ascii="宋体" w:hAnsi="宋体"/>
          <w:sz w:val="28"/>
          <w:szCs w:val="28"/>
        </w:rPr>
        <w:t>（4）起止时间</w:t>
      </w:r>
    </w:p>
    <w:p>
      <w:pPr>
        <w:spacing w:line="360" w:lineRule="auto"/>
        <w:ind w:firstLine="560" w:firstLineChars="200"/>
        <w:rPr>
          <w:rFonts w:ascii="宋体" w:hAnsi="宋体"/>
          <w:sz w:val="28"/>
          <w:szCs w:val="28"/>
        </w:rPr>
      </w:pPr>
      <w:r>
        <w:rPr>
          <w:rFonts w:hint="eastAsia" w:ascii="宋体" w:hAnsi="宋体"/>
          <w:sz w:val="28"/>
          <w:szCs w:val="28"/>
        </w:rPr>
        <w:t>（5）负责人情况</w:t>
      </w:r>
    </w:p>
    <w:p>
      <w:pPr>
        <w:spacing w:line="360" w:lineRule="auto"/>
        <w:ind w:firstLine="560" w:firstLineChars="200"/>
        <w:rPr>
          <w:rFonts w:ascii="宋体" w:hAnsi="宋体"/>
          <w:sz w:val="28"/>
          <w:szCs w:val="28"/>
        </w:rPr>
      </w:pPr>
      <w:r>
        <w:rPr>
          <w:rFonts w:hint="eastAsia" w:ascii="宋体" w:hAnsi="宋体"/>
          <w:sz w:val="28"/>
          <w:szCs w:val="28"/>
        </w:rPr>
        <w:t>2、重大项目研究情况介绍</w:t>
      </w:r>
    </w:p>
    <w:p>
      <w:pPr>
        <w:spacing w:line="360" w:lineRule="auto"/>
        <w:ind w:firstLine="560" w:firstLineChars="200"/>
        <w:rPr>
          <w:rFonts w:ascii="宋体" w:hAnsi="宋体"/>
          <w:sz w:val="28"/>
          <w:szCs w:val="28"/>
        </w:rPr>
      </w:pPr>
      <w:r>
        <w:rPr>
          <w:rFonts w:hint="eastAsia" w:ascii="宋体" w:hAnsi="宋体"/>
          <w:sz w:val="28"/>
          <w:szCs w:val="28"/>
        </w:rPr>
        <w:t>（1）立项背景</w:t>
      </w:r>
    </w:p>
    <w:p>
      <w:pPr>
        <w:spacing w:line="360" w:lineRule="auto"/>
        <w:ind w:firstLine="560" w:firstLineChars="200"/>
        <w:rPr>
          <w:rFonts w:ascii="宋体" w:hAnsi="宋体"/>
          <w:sz w:val="28"/>
          <w:szCs w:val="28"/>
        </w:rPr>
      </w:pPr>
      <w:r>
        <w:rPr>
          <w:rFonts w:hint="eastAsia" w:ascii="宋体" w:hAnsi="宋体"/>
          <w:sz w:val="28"/>
          <w:szCs w:val="28"/>
        </w:rPr>
        <w:t>（2）理论意义和现实意义</w:t>
      </w:r>
    </w:p>
    <w:p>
      <w:pPr>
        <w:spacing w:line="360" w:lineRule="auto"/>
        <w:ind w:firstLine="560" w:firstLineChars="200"/>
        <w:rPr>
          <w:rFonts w:ascii="宋体" w:hAnsi="宋体"/>
          <w:sz w:val="28"/>
          <w:szCs w:val="28"/>
        </w:rPr>
      </w:pPr>
      <w:r>
        <w:rPr>
          <w:rFonts w:hint="eastAsia" w:ascii="宋体" w:hAnsi="宋体"/>
          <w:sz w:val="28"/>
          <w:szCs w:val="28"/>
        </w:rPr>
        <w:t>（3）开展的主要研究活动</w:t>
      </w:r>
    </w:p>
    <w:p>
      <w:pPr>
        <w:spacing w:line="360" w:lineRule="auto"/>
        <w:ind w:firstLine="560" w:firstLineChars="200"/>
        <w:rPr>
          <w:rFonts w:ascii="宋体" w:hAnsi="宋体"/>
          <w:sz w:val="28"/>
          <w:szCs w:val="28"/>
        </w:rPr>
      </w:pPr>
      <w:r>
        <w:rPr>
          <w:rFonts w:hint="eastAsia" w:ascii="宋体" w:hAnsi="宋体"/>
          <w:sz w:val="28"/>
          <w:szCs w:val="28"/>
        </w:rPr>
        <w:t>3、成果介绍</w:t>
      </w:r>
    </w:p>
    <w:p>
      <w:pPr>
        <w:spacing w:line="360" w:lineRule="auto"/>
        <w:ind w:firstLine="560" w:firstLineChars="200"/>
        <w:rPr>
          <w:rFonts w:ascii="宋体" w:hAnsi="宋体"/>
          <w:sz w:val="28"/>
          <w:szCs w:val="28"/>
        </w:rPr>
      </w:pPr>
      <w:r>
        <w:rPr>
          <w:rFonts w:hint="eastAsia" w:ascii="宋体" w:hAnsi="宋体"/>
          <w:sz w:val="28"/>
          <w:szCs w:val="28"/>
        </w:rPr>
        <w:t>（1）标志性成果名称</w:t>
      </w:r>
    </w:p>
    <w:p>
      <w:pPr>
        <w:spacing w:line="360" w:lineRule="auto"/>
        <w:ind w:firstLine="560" w:firstLineChars="200"/>
        <w:rPr>
          <w:rFonts w:ascii="宋体" w:hAnsi="宋体"/>
          <w:sz w:val="28"/>
          <w:szCs w:val="28"/>
        </w:rPr>
      </w:pPr>
      <w:r>
        <w:rPr>
          <w:rFonts w:hint="eastAsia" w:ascii="宋体" w:hAnsi="宋体"/>
          <w:sz w:val="28"/>
          <w:szCs w:val="28"/>
        </w:rPr>
        <w:t>（2）成果的主要应用去向</w:t>
      </w:r>
    </w:p>
    <w:p>
      <w:pPr>
        <w:spacing w:line="360" w:lineRule="auto"/>
        <w:ind w:firstLine="560" w:firstLineChars="200"/>
        <w:rPr>
          <w:rFonts w:ascii="宋体" w:hAnsi="宋体"/>
          <w:sz w:val="28"/>
          <w:szCs w:val="28"/>
        </w:rPr>
      </w:pPr>
      <w:r>
        <w:rPr>
          <w:rFonts w:hint="eastAsia" w:ascii="宋体" w:hAnsi="宋体"/>
          <w:sz w:val="28"/>
          <w:szCs w:val="28"/>
        </w:rPr>
        <w:t>（3）成果产生的社会效益、社会影响及社会评价</w:t>
      </w: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ascii="宋体" w:hAnsi="宋体"/>
          <w:sz w:val="24"/>
        </w:rPr>
      </w:pPr>
    </w:p>
    <w:p>
      <w:pPr>
        <w:spacing w:line="360" w:lineRule="auto"/>
        <w:ind w:firstLine="482" w:firstLineChars="200"/>
        <w:rPr>
          <w:rFonts w:ascii="宋体" w:hAnsi="宋体"/>
          <w:b/>
          <w:sz w:val="24"/>
        </w:rPr>
      </w:pPr>
      <w:r>
        <w:rPr>
          <w:rFonts w:hint="eastAsia" w:ascii="宋体" w:hAnsi="宋体"/>
          <w:b/>
          <w:sz w:val="24"/>
        </w:rPr>
        <w:t>教育部哲学社会科学研究重大课题攻关项目之</w:t>
      </w:r>
    </w:p>
    <w:p>
      <w:pPr>
        <w:spacing w:line="360" w:lineRule="auto"/>
        <w:ind w:firstLine="482" w:firstLineChars="200"/>
        <w:rPr>
          <w:rFonts w:ascii="宋体" w:hAnsi="宋体"/>
          <w:sz w:val="24"/>
        </w:rPr>
      </w:pPr>
      <w:r>
        <w:rPr>
          <w:rFonts w:hint="eastAsia" w:ascii="宋体" w:hAnsi="宋体"/>
          <w:b/>
          <w:sz w:val="24"/>
        </w:rPr>
        <w:t>东北老工业基地资源型城市发展接续产业问题研究</w:t>
      </w:r>
    </w:p>
    <w:p>
      <w:pPr>
        <w:spacing w:line="360" w:lineRule="auto"/>
        <w:ind w:firstLine="480" w:firstLineChars="200"/>
        <w:rPr>
          <w:rFonts w:ascii="宋体" w:hAnsi="宋体"/>
          <w:sz w:val="24"/>
        </w:rPr>
      </w:pPr>
      <w:r>
        <w:rPr>
          <w:rFonts w:hint="eastAsia" w:ascii="宋体" w:hAnsi="宋体"/>
          <w:sz w:val="24"/>
        </w:rPr>
        <w:t>教育部重大课题攻关项目“东北老工业基地资源型城市发展接续产业问题研究”（项目编号:JZD20030013）于2003年12月立项，2008年5月结项，获资助经费80万元。首席专家为经济学院宋冬林教授。</w:t>
      </w:r>
    </w:p>
    <w:p>
      <w:pPr>
        <w:spacing w:line="360" w:lineRule="auto"/>
        <w:ind w:firstLine="480" w:firstLineChars="200"/>
        <w:rPr>
          <w:rFonts w:ascii="宋体" w:hAnsi="宋体"/>
          <w:sz w:val="24"/>
        </w:rPr>
      </w:pPr>
      <w:r>
        <w:rPr>
          <w:rFonts w:hint="eastAsia" w:ascii="宋体" w:hAnsi="宋体"/>
          <w:sz w:val="24"/>
        </w:rPr>
        <w:t>建国后相当长的一段时期内，国家建设了大量资源型城市。经过数十年发展，伴随着资源的日趋枯竭，资源型产业逐渐衰退，企业发展陷入困境，由资源型产业衰退引发的经济、社会和环境问题日益突显，成为制约这些资源型城市经济社会发展的重要羁绊。</w:t>
      </w:r>
    </w:p>
    <w:p>
      <w:pPr>
        <w:spacing w:line="360" w:lineRule="auto"/>
        <w:ind w:firstLine="480" w:firstLineChars="200"/>
        <w:rPr>
          <w:rFonts w:ascii="宋体" w:hAnsi="宋体"/>
          <w:sz w:val="24"/>
        </w:rPr>
      </w:pPr>
      <w:r>
        <w:rPr>
          <w:rFonts w:hint="eastAsia" w:ascii="宋体" w:hAnsi="宋体"/>
          <w:sz w:val="24"/>
        </w:rPr>
        <w:t>该重大项目研究在理论方面，从东北老工业基地资源型城市经济发展现状入手，把问题聚焦于资源型城市产业的微观基础——资源型国有企业，理清资源型国有企业发展的历史脉络，研究其发展的体制环境，找出问题的症结；在实践方面，通过研究如何消除沉淀成本，准确定位政府和市场在资源型城市发展接续产业中的作用和角色，探索东北老工业基地资源型城市发展接续产业出路和方法。项目研究共分为5个部分，分别对东北老工业基地资源型城市的历史与现实考察、相关理论准备、国际比较与借鉴、案例和实证研究，最后提出相关对策建议。</w:t>
      </w:r>
    </w:p>
    <w:p>
      <w:pPr>
        <w:spacing w:line="360" w:lineRule="auto"/>
        <w:ind w:firstLine="480" w:firstLineChars="200"/>
        <w:rPr>
          <w:rFonts w:ascii="宋体" w:hAnsi="宋体"/>
          <w:sz w:val="24"/>
        </w:rPr>
      </w:pPr>
      <w:r>
        <w:rPr>
          <w:rFonts w:hint="eastAsia" w:ascii="宋体" w:hAnsi="宋体"/>
          <w:sz w:val="24"/>
        </w:rPr>
        <w:t>该重大项目最终成果为研究报告《关于实施“打包改制”带动东北地方国有工业企业制度创新走出困境的建议》，已被国务院、国资委、吉林省政府、国家开发银行等采纳应用。建议得到了中央及多个部委领导的高度重视。中共中央政治局常委、国务院副总理黄菊，国资委主任李荣融、党委书记李毅中、副主任邵宁，国家开发银行行长陈元，吉林省委常委、省长王儒林等领导分别就此文作出批示。国家开发银行依据“打包改制”的思路，与吉林省人民政府签定了《加快吉林老工业基地振兴开发性金融合作协议》，使吉林省816户国有企业改制在一年之内完成，在国内引起强烈反响。在教育部哲学社会科学研究重大课题攻关项目终审评审中，本项目被评为优秀等级。</w:t>
      </w:r>
    </w:p>
    <w:p>
      <w:pPr>
        <w:spacing w:line="360" w:lineRule="auto"/>
        <w:rPr>
          <w:rFonts w:ascii="宋体" w:hAnsi="宋体"/>
          <w:sz w:val="24"/>
        </w:rPr>
      </w:pPr>
    </w:p>
    <w:p>
      <w:pPr>
        <w:spacing w:line="360" w:lineRule="auto"/>
        <w:ind w:firstLine="482" w:firstLineChars="200"/>
        <w:rPr>
          <w:rFonts w:ascii="宋体" w:hAnsi="宋体"/>
          <w:b/>
          <w:sz w:val="24"/>
        </w:rPr>
      </w:pPr>
      <w:r>
        <w:rPr>
          <w:rFonts w:hint="eastAsia" w:ascii="宋体" w:hAnsi="宋体"/>
          <w:b/>
          <w:sz w:val="24"/>
        </w:rPr>
        <w:t>马克思主义理论研究和建设工程之</w:t>
      </w:r>
    </w:p>
    <w:p>
      <w:pPr>
        <w:spacing w:line="360" w:lineRule="auto"/>
        <w:ind w:firstLine="482" w:firstLineChars="200"/>
        <w:rPr>
          <w:rFonts w:ascii="宋体" w:hAnsi="宋体"/>
          <w:b/>
          <w:sz w:val="24"/>
        </w:rPr>
      </w:pPr>
      <w:r>
        <w:rPr>
          <w:rFonts w:hint="eastAsia" w:ascii="宋体" w:hAnsi="宋体"/>
          <w:b/>
          <w:sz w:val="24"/>
        </w:rPr>
        <w:t>法学教材编写项目</w:t>
      </w:r>
    </w:p>
    <w:p>
      <w:pPr>
        <w:spacing w:line="360" w:lineRule="auto"/>
        <w:ind w:firstLine="480" w:firstLineChars="200"/>
        <w:rPr>
          <w:rFonts w:ascii="宋体" w:hAnsi="宋体"/>
          <w:sz w:val="24"/>
        </w:rPr>
      </w:pPr>
      <w:r>
        <w:rPr>
          <w:rFonts w:hint="eastAsia" w:ascii="宋体" w:hAnsi="宋体"/>
          <w:sz w:val="24"/>
        </w:rPr>
        <w:t>中央实施的马克思主义理论研究和建设工程法学教材编写项目（项目编号：04MZD006）被列入“十一五”国家哲学社会科学基金重大项目，于2004年5月立项，于2010年7月结项，获资助经费200万元。首席专家为教育部重点研究基地理论法学研究中心张文显教授。</w:t>
      </w:r>
    </w:p>
    <w:p>
      <w:pPr>
        <w:spacing w:line="360" w:lineRule="auto"/>
        <w:ind w:firstLine="480" w:firstLineChars="200"/>
        <w:rPr>
          <w:rFonts w:ascii="宋体" w:hAnsi="宋体"/>
          <w:sz w:val="24"/>
        </w:rPr>
      </w:pPr>
      <w:r>
        <w:rPr>
          <w:rFonts w:hint="eastAsia" w:ascii="宋体" w:hAnsi="宋体"/>
          <w:sz w:val="24"/>
        </w:rPr>
        <w:t>根据中共中央统一部署，马克思主义理论研究和建设工程于2004年正式启动。同年5月，在中宣部、教育部、全国人大法工委等有关职能部门的直接领导下，以吉林大学理论法学研究中心为依托，马克思主义理论研究和建设工程法学教材编写课题组正式成立。该项目具有重大的理论与现实意义，不仅有助于坚持马克思主义的基本立场、观点和方法，坚持马克思主义的中国化及其发展创新，并且有助于总结我国法学教材建设几十年来的发展成就，巩固并完善教材体系的科学性和先进性，形成以当代中国马克思主义为指导的具有中国特色、中国风格、中国气派的法学学科体系和教材体系。</w:t>
      </w:r>
    </w:p>
    <w:p>
      <w:pPr>
        <w:spacing w:line="360" w:lineRule="auto"/>
        <w:ind w:firstLine="480" w:firstLineChars="200"/>
        <w:rPr>
          <w:rFonts w:ascii="宋体" w:hAnsi="宋体"/>
          <w:sz w:val="24"/>
        </w:rPr>
      </w:pPr>
      <w:r>
        <w:rPr>
          <w:rFonts w:hint="eastAsia" w:ascii="宋体" w:hAnsi="宋体"/>
          <w:sz w:val="24"/>
        </w:rPr>
        <w:t>该重大项目最终标志性成果为《法理学》重点教材，由人民出版社和高等教育出版社出版。该教材既立足当代又继承传统，既立足本国又学习外国，既传承文明又开拓创新，获得了社会各界的广泛认可与好评，被认为是充分体现了马克思主义中国化的最新理论成果，吸收了当前国内法理学研究的最新成果，实现了理论与实践的紧密结合。</w:t>
      </w:r>
    </w:p>
    <w:p>
      <w:pPr>
        <w:spacing w:line="360" w:lineRule="auto"/>
        <w:rPr>
          <w:rFonts w:ascii="宋体" w:hAnsi="宋体"/>
          <w:sz w:val="24"/>
        </w:rPr>
      </w:pPr>
    </w:p>
    <w:p>
      <w:pPr>
        <w:spacing w:line="360" w:lineRule="auto"/>
        <w:ind w:firstLine="482" w:firstLineChars="200"/>
        <w:rPr>
          <w:rFonts w:ascii="宋体" w:hAnsi="宋体"/>
          <w:b/>
          <w:sz w:val="24"/>
        </w:rPr>
      </w:pPr>
      <w:r>
        <w:rPr>
          <w:rFonts w:hint="eastAsia" w:ascii="宋体" w:hAnsi="宋体"/>
          <w:b/>
          <w:sz w:val="24"/>
        </w:rPr>
        <w:t>国家社会科学基金重大项目之</w:t>
      </w:r>
    </w:p>
    <w:p>
      <w:pPr>
        <w:spacing w:line="360" w:lineRule="auto"/>
        <w:ind w:firstLine="482" w:firstLineChars="200"/>
        <w:rPr>
          <w:rFonts w:ascii="宋体" w:hAnsi="宋体"/>
          <w:sz w:val="24"/>
        </w:rPr>
      </w:pPr>
      <w:r>
        <w:rPr>
          <w:rFonts w:hint="eastAsia" w:ascii="宋体" w:hAnsi="宋体"/>
          <w:b/>
          <w:sz w:val="24"/>
        </w:rPr>
        <w:t>马克思主义基础理论及其学科建设研究</w:t>
      </w:r>
    </w:p>
    <w:p>
      <w:pPr>
        <w:spacing w:line="360" w:lineRule="auto"/>
        <w:ind w:firstLine="480" w:firstLineChars="200"/>
        <w:rPr>
          <w:rFonts w:ascii="宋体" w:hAnsi="宋体"/>
          <w:sz w:val="24"/>
        </w:rPr>
      </w:pPr>
      <w:r>
        <w:rPr>
          <w:rFonts w:hint="eastAsia" w:ascii="宋体" w:hAnsi="宋体"/>
          <w:sz w:val="24"/>
        </w:rPr>
        <w:t>国家社科基金重大项目“马克思主义基础理论及其学科建设研究”（项目编号：04ZD004），于2004年7月立项，2010年1月结项。首席专家为教育部重点研究基地哲学基础理论研究中心孙正聿教授，获资助经费50万元。</w:t>
      </w:r>
    </w:p>
    <w:p>
      <w:pPr>
        <w:spacing w:line="360" w:lineRule="auto"/>
        <w:ind w:firstLine="480" w:firstLineChars="200"/>
        <w:rPr>
          <w:rFonts w:ascii="宋体" w:hAnsi="宋体"/>
          <w:sz w:val="24"/>
        </w:rPr>
      </w:pPr>
      <w:r>
        <w:rPr>
          <w:rFonts w:hint="eastAsia" w:ascii="宋体" w:hAnsi="宋体"/>
          <w:sz w:val="24"/>
        </w:rPr>
        <w:t>《中共中央关于进一步繁荣哲学社会科学的意见》指出：“哲学社会科学基础理论特别是反映当代马克思主义最新成果的理论研究和教材及学科建设亟待加强”。这为21世纪中国的哲学社会科学提出了研究马克思主义基础理论的历史任务和重大课题。该重大项目以此为契机，一方面梳理和反思了当代中国马克思主义基础理论研究的状况，对其主要成果和发展趋向作出全面、深入的总结与评价；另一方面从马克思主义的理论特性出发，力图超越学科界限，从哲学批判、政治经济学批判和空想社会主义批判的统一中研究马克思主义基础理论，并从当代的重大现实问题和理论问题出发，在调查研究的基础上，理论联系实际地研究马克思主义的基础理论。同时，积极探索马克思主义基础理论研究与马克思主义学科建设的互动关系，切实地、全面地推进马克思主义基础理论研究及其学科建设。</w:t>
      </w:r>
    </w:p>
    <w:p>
      <w:pPr>
        <w:spacing w:line="360" w:lineRule="auto"/>
        <w:ind w:firstLine="480" w:firstLineChars="200"/>
        <w:rPr>
          <w:rFonts w:ascii="宋体" w:hAnsi="宋体"/>
          <w:sz w:val="24"/>
        </w:rPr>
      </w:pPr>
      <w:r>
        <w:rPr>
          <w:rFonts w:hint="eastAsia" w:ascii="宋体" w:hAnsi="宋体"/>
          <w:sz w:val="24"/>
        </w:rPr>
        <w:t>该项目最终成果为专著《马克思主义基础理论及其学科建设研究》，由北京师范大学出版社出版。该成果最终鉴定结果为优秀，并被收入《国家哲学社会科学成果文库》。其他阶段性研究成果分别发表于《中国社会科学》（中、英文版）、《人民日报》、《光明日报》、《哲学研究》、《哲学动态》、《中国高等教育》、《中国大学教学》、《中国教育报》、《中国社会科学报》以及《中国社会科学内刊》等权威性刊物，多数论文被《新华文摘》、《中国社会科学文摘》、《高等学校文科学术文摘》等权威刊物转载，在学界、思想理论界和社会各界产生广泛影响。</w:t>
      </w:r>
    </w:p>
    <w:p>
      <w:pPr>
        <w:spacing w:line="360" w:lineRule="auto"/>
        <w:ind w:firstLine="480" w:firstLineChars="200"/>
        <w:rPr>
          <w:rFonts w:ascii="宋体" w:hAnsi="宋体"/>
          <w:sz w:val="24"/>
        </w:rPr>
      </w:pPr>
    </w:p>
    <w:p>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decorative"/>
    <w:pitch w:val="default"/>
    <w:sig w:usb0="00000000" w:usb1="00000000" w:usb2="00000000" w:usb3="00000000" w:csb0="00040001" w:csb1="00000000"/>
  </w:font>
  <w:font w:name="Calibri Light">
    <w:altName w:val="Times New Roman"/>
    <w:panose1 w:val="00000000000000000000"/>
    <w:charset w:val="00"/>
    <w:family w:val="modern"/>
    <w:pitch w:val="default"/>
    <w:sig w:usb0="00000000" w:usb1="00000000" w:usb2="00000000" w:usb3="00000000" w:csb0="00000000" w:csb1="00000000"/>
  </w:font>
  <w:font w:name="ˎ̥">
    <w:altName w:val="Times New Roman"/>
    <w:panose1 w:val="00000000000000000000"/>
    <w:charset w:val="00"/>
    <w:family w:val="roman"/>
    <w:pitch w:val="default"/>
    <w:sig w:usb0="00000000" w:usb1="00000000" w:usb2="00000000" w:usb3="00000000" w:csb0="00040001" w:csb1="00000000"/>
  </w:font>
  <w:font w:name="Calibri Light">
    <w:altName w:val="Times New Roman"/>
    <w:panose1 w:val="00000000000000000000"/>
    <w:charset w:val="00"/>
    <w:family w:val="swiss"/>
    <w:pitch w:val="default"/>
    <w:sig w:usb0="00000000" w:usb1="00000000" w:usb2="00000000" w:usb3="00000000" w:csb0="00000000" w:csb1="00000000"/>
  </w:font>
  <w:font w:name="ˎ̥">
    <w:altName w:val="Times New Roman"/>
    <w:panose1 w:val="00000000000000000000"/>
    <w:charset w:val="00"/>
    <w:family w:val="modern"/>
    <w:pitch w:val="default"/>
    <w:sig w:usb0="00000000" w:usb1="00000000" w:usb2="00000000" w:usb3="00000000" w:csb0="00040001" w:csb1="00000000"/>
  </w:font>
  <w:font w:name="Calibri Light">
    <w:altName w:val="Times New Roman"/>
    <w:panose1 w:val="00000000000000000000"/>
    <w:charset w:val="00"/>
    <w:family w:val="decorative"/>
    <w:pitch w:val="default"/>
    <w:sig w:usb0="00000000" w:usb1="00000000" w:usb2="00000000" w:usb3="00000000" w:csb0="00000000" w:csb1="00000000"/>
  </w:font>
  <w:font w:name="仿宋_GB2312">
    <w:altName w:val="仿宋"/>
    <w:panose1 w:val="02010609030101010101"/>
    <w:charset w:val="86"/>
    <w:family w:val="roman"/>
    <w:pitch w:val="default"/>
    <w:sig w:usb0="00000000" w:usb1="00000000" w:usb2="00000010" w:usb3="00000000" w:csb0="00040000" w:csb1="00000000"/>
  </w:font>
  <w:font w:name="黑体">
    <w:panose1 w:val="02010609060101010101"/>
    <w:charset w:val="86"/>
    <w:family w:val="roma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黑体">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黑体">
    <w:panose1 w:val="02010609060101010101"/>
    <w:charset w:val="86"/>
    <w:family w:val="decorative"/>
    <w:pitch w:val="default"/>
    <w:sig w:usb0="800002BF" w:usb1="38CF7CFA" w:usb2="00000016" w:usb3="00000000" w:csb0="00040001" w:csb1="00000000"/>
  </w:font>
  <w:font w:name="ˎ̥">
    <w:altName w:val="Times New Roman"/>
    <w:panose1 w:val="00000000000000000000"/>
    <w:charset w:val="00"/>
    <w:family w:val="swiss"/>
    <w:pitch w:val="default"/>
    <w:sig w:usb0="00000000" w:usb1="00000000" w:usb2="00000000" w:usb3="00000000" w:csb0="00040001" w:csb1="00000000"/>
  </w:font>
  <w:font w:name="Calibri Light">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7A02A6"/>
    <w:rsid w:val="427A02A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2016-04-25T06:17:00Z</dcterms:created>
  <dc:creator>Administrator</dc:creator>
  <cp:lastModifiedBy>Administrator</cp:lastModifiedBy>
  <dcterms:modified xsi:type="dcterms:W3CDTF">2016-04-25T06:17:35Z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