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rPr>
          <w:rFonts w:ascii="宋体" w:hAnsi="宋体"/>
          <w:b/>
          <w:bCs/>
          <w:sz w:val="24"/>
        </w:rPr>
      </w:pPr>
      <w:r>
        <w:rPr>
          <w:rFonts w:hint="eastAsia" w:ascii="宋体" w:hAnsi="宋体"/>
          <w:b/>
          <w:bCs/>
          <w:sz w:val="28"/>
          <w:szCs w:val="28"/>
        </w:rPr>
        <w:t>模板2：“985工程“建设项目简介</w:t>
      </w:r>
      <w:r>
        <w:rPr>
          <w:rFonts w:hint="eastAsia" w:ascii="宋体" w:hAnsi="宋体"/>
          <w:b/>
          <w:bCs/>
          <w:sz w:val="24"/>
        </w:rPr>
        <w:t>：</w:t>
      </w:r>
    </w:p>
    <w:p>
      <w:pPr>
        <w:jc w:val="center"/>
        <w:rPr>
          <w:rFonts w:ascii="宋体" w:hAnsi="宋体"/>
          <w:sz w:val="28"/>
          <w:szCs w:val="28"/>
        </w:rPr>
      </w:pPr>
      <w:r>
        <w:rPr>
          <w:rFonts w:hint="eastAsia" w:ascii="宋体" w:hAnsi="宋体"/>
          <w:sz w:val="28"/>
          <w:szCs w:val="28"/>
        </w:rPr>
        <w:t>“985工程“建设项目名称：×××</w:t>
      </w:r>
    </w:p>
    <w:p>
      <w:pPr>
        <w:rPr>
          <w:rFonts w:ascii="宋体" w:hAnsi="宋体"/>
          <w:sz w:val="28"/>
          <w:szCs w:val="28"/>
        </w:rPr>
      </w:pPr>
      <w:r>
        <w:rPr>
          <w:rFonts w:hint="eastAsia" w:ascii="宋体" w:hAnsi="宋体"/>
          <w:sz w:val="28"/>
          <w:szCs w:val="28"/>
        </w:rPr>
        <w:t>正文部分：</w:t>
      </w:r>
    </w:p>
    <w:p>
      <w:pPr>
        <w:rPr>
          <w:rFonts w:ascii="宋体" w:hAnsi="宋体"/>
          <w:sz w:val="28"/>
          <w:szCs w:val="28"/>
        </w:rPr>
      </w:pPr>
      <w:r>
        <w:rPr>
          <w:rFonts w:hint="eastAsia" w:ascii="宋体" w:hAnsi="宋体"/>
          <w:sz w:val="28"/>
          <w:szCs w:val="28"/>
        </w:rPr>
        <w:t>一、项目总体情况</w:t>
      </w:r>
    </w:p>
    <w:p>
      <w:pPr>
        <w:rPr>
          <w:rFonts w:ascii="宋体" w:hAnsi="宋体"/>
          <w:sz w:val="28"/>
          <w:szCs w:val="28"/>
        </w:rPr>
      </w:pPr>
      <w:r>
        <w:rPr>
          <w:rFonts w:hint="eastAsia" w:ascii="宋体" w:hAnsi="宋体"/>
          <w:sz w:val="28"/>
          <w:szCs w:val="28"/>
        </w:rPr>
        <w:t>二、建设目标</w:t>
      </w:r>
    </w:p>
    <w:p>
      <w:pPr>
        <w:rPr>
          <w:rFonts w:ascii="宋体" w:hAnsi="宋体"/>
          <w:sz w:val="28"/>
          <w:szCs w:val="28"/>
        </w:rPr>
      </w:pPr>
      <w:r>
        <w:rPr>
          <w:rFonts w:hint="eastAsia" w:ascii="宋体" w:hAnsi="宋体"/>
          <w:sz w:val="28"/>
          <w:szCs w:val="28"/>
        </w:rPr>
        <w:t>三、主要建设内容</w:t>
      </w:r>
    </w:p>
    <w:p>
      <w:pPr>
        <w:rPr>
          <w:rFonts w:ascii="宋体" w:hAnsi="宋体"/>
          <w:sz w:val="28"/>
          <w:szCs w:val="28"/>
        </w:rPr>
      </w:pPr>
      <w:r>
        <w:rPr>
          <w:rFonts w:hint="eastAsia" w:ascii="宋体" w:hAnsi="宋体"/>
          <w:sz w:val="28"/>
          <w:szCs w:val="28"/>
        </w:rPr>
        <w:t>四、标志性成果</w:t>
      </w:r>
    </w:p>
    <w:p>
      <w:pPr>
        <w:spacing w:line="360" w:lineRule="auto"/>
        <w:rPr>
          <w:rFonts w:ascii="宋体" w:hAnsi="宋体"/>
          <w:sz w:val="24"/>
        </w:rPr>
      </w:pPr>
    </w:p>
    <w:p>
      <w:pPr>
        <w:spacing w:line="360" w:lineRule="auto"/>
        <w:jc w:val="center"/>
        <w:rPr>
          <w:rFonts w:ascii="宋体" w:hAnsi="宋体"/>
          <w:b/>
          <w:sz w:val="24"/>
        </w:rPr>
      </w:pPr>
      <w:r>
        <w:rPr>
          <w:rFonts w:hint="eastAsia" w:ascii="宋体" w:hAnsi="宋体"/>
          <w:b/>
          <w:sz w:val="24"/>
        </w:rPr>
        <w:t>当代中国法治哲学社会科学创新基地</w:t>
      </w:r>
    </w:p>
    <w:p>
      <w:pPr>
        <w:spacing w:line="360" w:lineRule="auto"/>
        <w:ind w:firstLine="472" w:firstLineChars="196"/>
        <w:rPr>
          <w:rFonts w:ascii="宋体" w:hAnsi="宋体"/>
          <w:b/>
          <w:sz w:val="24"/>
        </w:rPr>
      </w:pPr>
      <w:r>
        <w:rPr>
          <w:rFonts w:hint="eastAsia" w:ascii="宋体" w:hAnsi="宋体"/>
          <w:b/>
          <w:sz w:val="24"/>
        </w:rPr>
        <w:t>一、总体情况</w:t>
      </w:r>
    </w:p>
    <w:p>
      <w:pPr>
        <w:spacing w:line="360" w:lineRule="auto"/>
        <w:ind w:firstLine="480" w:firstLineChars="200"/>
        <w:rPr>
          <w:rFonts w:ascii="宋体" w:hAnsi="宋体"/>
          <w:sz w:val="24"/>
        </w:rPr>
      </w:pPr>
      <w:r>
        <w:rPr>
          <w:rFonts w:hint="eastAsia" w:ascii="宋体" w:hAnsi="宋体"/>
          <w:sz w:val="24"/>
        </w:rPr>
        <w:t>项目以1个教育部人文社会科学重点研究基地（理论法学研究中心）、2个国家重点学科（法学理论、刑法学）为核心构建，同时涵盖了2个一级学科博士学位授权点（法学、马克思主义理论）、2个博士后科研流动站（法学、马克思主义理论）、2个吉林省重点学科（民商法学、思想政治教育），并辐射到法律经济学、法律政治学、医事法学等法学与其他学科的交叉学科，是对“985”二期工程“法律与全球化哲学社会科学创新基地”建设项目的深化与延续。</w:t>
      </w:r>
    </w:p>
    <w:p>
      <w:pPr>
        <w:spacing w:line="360" w:lineRule="auto"/>
        <w:ind w:firstLine="472" w:firstLineChars="196"/>
        <w:rPr>
          <w:rFonts w:ascii="宋体" w:hAnsi="宋体"/>
          <w:b/>
          <w:sz w:val="24"/>
        </w:rPr>
      </w:pPr>
      <w:r>
        <w:rPr>
          <w:rFonts w:hint="eastAsia" w:ascii="宋体" w:hAnsi="宋体"/>
          <w:b/>
          <w:sz w:val="24"/>
        </w:rPr>
        <w:t>二、建设目标</w:t>
      </w:r>
    </w:p>
    <w:p>
      <w:pPr>
        <w:spacing w:line="360" w:lineRule="auto"/>
        <w:ind w:firstLine="480" w:firstLineChars="200"/>
        <w:rPr>
          <w:rFonts w:ascii="宋体" w:hAnsi="宋体"/>
          <w:sz w:val="24"/>
        </w:rPr>
      </w:pPr>
      <w:r>
        <w:rPr>
          <w:rFonts w:hint="eastAsia" w:ascii="宋体" w:hAnsi="宋体"/>
          <w:sz w:val="24"/>
        </w:rPr>
        <w:t>项目的预期总目标：以“985”二期工程建设项目为基础，经过10年持续建设，建成在国内居于领先水平、在国际上具有重要影响的当代中国法治的理论研究中心、在国际上居于一流水平的法律与经济全球化理论创新基地、高层次人才培养基地、国际学术交流平台、决策咨询服务机构，同时把法学学科建设成为一级国家重点学科，把吉林大学理论法学研究中心建设成为国际知名的研究机构，推动法学理论、刑法学学科达到国际先进水平，促进法学与其他学科的交叉融合。</w:t>
      </w:r>
    </w:p>
    <w:p>
      <w:pPr>
        <w:spacing w:line="360" w:lineRule="auto"/>
        <w:ind w:firstLine="472" w:firstLineChars="196"/>
        <w:rPr>
          <w:rFonts w:ascii="宋体" w:hAnsi="宋体"/>
          <w:b/>
          <w:sz w:val="24"/>
        </w:rPr>
      </w:pPr>
      <w:r>
        <w:rPr>
          <w:rFonts w:hint="eastAsia" w:ascii="宋体" w:hAnsi="宋体"/>
          <w:b/>
          <w:sz w:val="24"/>
        </w:rPr>
        <w:t>三、主要建设内容</w:t>
      </w:r>
    </w:p>
    <w:p>
      <w:pPr>
        <w:spacing w:line="360" w:lineRule="auto"/>
        <w:ind w:firstLine="480" w:firstLineChars="200"/>
        <w:rPr>
          <w:rFonts w:ascii="宋体" w:hAnsi="宋体"/>
          <w:sz w:val="24"/>
        </w:rPr>
      </w:pPr>
      <w:r>
        <w:rPr>
          <w:rFonts w:hint="eastAsia" w:ascii="宋体" w:hAnsi="宋体"/>
          <w:sz w:val="24"/>
        </w:rPr>
        <w:t>项目以“985”二期工程建设项目在全球化一般理论、全球化与法律变革、法律全球化、全球化与中国政治文明等研究方向上的四个创新团队为基础，充分发挥各学科已有研究优势，根据国家重大战略需求与我校学科建设需要，凝练出三个相互支撑的重大研究方向：1.当代中国法治的理论与实践；2.刑事法治的理念根基与当代养成；3.国家核心价值与公民文化建设。</w:t>
      </w:r>
    </w:p>
    <w:p>
      <w:pPr>
        <w:spacing w:line="360" w:lineRule="auto"/>
        <w:ind w:firstLine="480" w:firstLineChars="200"/>
        <w:rPr>
          <w:rFonts w:ascii="宋体" w:hAnsi="宋体"/>
          <w:sz w:val="24"/>
        </w:rPr>
      </w:pPr>
      <w:r>
        <w:rPr>
          <w:rFonts w:hint="eastAsia" w:ascii="宋体" w:hAnsi="宋体"/>
          <w:sz w:val="24"/>
        </w:rPr>
        <w:t>在学术团队建设方面，项目将采取内部培养和外部引进相结合的方式，增加一批优秀的学术带头人和学术骨干，进一步提升本项目学术团队的整体实力。在人才培养机制改革方面，将以培养拔尖创新人才为目标，深化本科生、研究生教学改革和人才培养机制改革。在国际交流与合作方面，聘请国外著名专家来校授课，扩大与国外学术机构的学生交流交换计划，扩大外国留学生的招生规模，与国外学术机构合作申报重大科研项目，开展跨国合作研究，共同举办国际学术会议。此外，将建立一个能够汇集所有汉语文献和绝大部分英语文献的法治研究文献中心，开发建设中英文学术网站“中国法治研究信息网”，在继续建设“985”二期工程项目“马克思主义法学数据库”和“全球化数据库”的同时，开发建设“主要国家典型法典数据库”、“破产法与企业重组经典案例数据库”。</w:t>
      </w:r>
    </w:p>
    <w:p>
      <w:pPr>
        <w:spacing w:line="360" w:lineRule="auto"/>
        <w:ind w:firstLine="472" w:firstLineChars="196"/>
        <w:rPr>
          <w:rFonts w:ascii="宋体" w:hAnsi="宋体"/>
          <w:b/>
          <w:sz w:val="24"/>
        </w:rPr>
      </w:pPr>
      <w:r>
        <w:rPr>
          <w:rFonts w:hint="eastAsia" w:ascii="宋体" w:hAnsi="宋体"/>
          <w:b/>
          <w:sz w:val="24"/>
        </w:rPr>
        <w:t>四、标志性成果</w:t>
      </w:r>
    </w:p>
    <w:p>
      <w:pPr>
        <w:spacing w:line="360" w:lineRule="auto"/>
        <w:ind w:firstLine="480" w:firstLineChars="200"/>
        <w:rPr>
          <w:rFonts w:ascii="宋体" w:hAnsi="宋体"/>
          <w:sz w:val="24"/>
        </w:rPr>
      </w:pPr>
      <w:r>
        <w:rPr>
          <w:rFonts w:hint="eastAsia" w:ascii="宋体" w:hAnsi="宋体"/>
          <w:sz w:val="24"/>
        </w:rPr>
        <w:t>项目自“985”二期工程建设以来，在科研与教学方面取得了一系列标志性成果：</w:t>
      </w:r>
    </w:p>
    <w:p>
      <w:pPr>
        <w:spacing w:line="360" w:lineRule="auto"/>
        <w:ind w:firstLine="480" w:firstLineChars="200"/>
        <w:rPr>
          <w:rFonts w:ascii="宋体" w:hAnsi="宋体"/>
          <w:sz w:val="24"/>
        </w:rPr>
      </w:pPr>
      <w:r>
        <w:rPr>
          <w:rFonts w:hint="eastAsia" w:ascii="宋体" w:hAnsi="宋体"/>
          <w:sz w:val="24"/>
        </w:rPr>
        <w:t>1．在学术研究方面，围绕</w:t>
      </w:r>
      <w:r>
        <w:rPr>
          <w:rFonts w:ascii="宋体" w:hAnsi="宋体"/>
          <w:sz w:val="24"/>
        </w:rPr>
        <w:t>“</w:t>
      </w:r>
      <w:r>
        <w:rPr>
          <w:rFonts w:hint="eastAsia" w:ascii="宋体" w:hAnsi="宋体"/>
          <w:sz w:val="24"/>
        </w:rPr>
        <w:t>全球化时代的经济、政治、法律交叉性问题</w:t>
      </w:r>
      <w:r>
        <w:rPr>
          <w:rFonts w:ascii="宋体" w:hAnsi="宋体"/>
          <w:sz w:val="24"/>
        </w:rPr>
        <w:t>”</w:t>
      </w:r>
      <w:r>
        <w:rPr>
          <w:rFonts w:hint="eastAsia" w:ascii="宋体" w:hAnsi="宋体"/>
          <w:sz w:val="24"/>
        </w:rPr>
        <w:t>产出了一批具有高影响力的系列成果。其中在《法学研究》《政治学研究》《中国法学》上发表8篇论文，10本著作由商务印书馆、法律出版社、高等教育出版社等有重要影响的出版社出版。包括：张文显教授的《构建社会主义和谐社会的法律机制》《走向和谐法治》《全球化时代的中国法治》，周光辉教授的《理解公民—关于和谐社会成员身份的思考》，张贤明教授的《社会主义和谐社会与政府责任》，黄文艺教授的《全球化与世界法律发展》，刘雪莲教授的《论全球治理中和谐世界的构建》、刘清才教授的《建构和谐世界：关于世界秩序范式的思考》，等等。</w:t>
      </w:r>
    </w:p>
    <w:p>
      <w:pPr>
        <w:spacing w:line="360" w:lineRule="auto"/>
        <w:ind w:firstLine="480" w:firstLineChars="200"/>
        <w:rPr>
          <w:rFonts w:ascii="宋体" w:hAnsi="宋体"/>
          <w:sz w:val="24"/>
        </w:rPr>
      </w:pPr>
      <w:r>
        <w:rPr>
          <w:rFonts w:hint="eastAsia" w:ascii="宋体" w:hAnsi="宋体"/>
          <w:sz w:val="24"/>
        </w:rPr>
        <w:t>2．在教材建设与人才培养方面，坚持教学与科研并重，取得了一大批成果。</w:t>
      </w:r>
    </w:p>
    <w:p>
      <w:pPr>
        <w:spacing w:line="360" w:lineRule="auto"/>
        <w:ind w:firstLine="480" w:firstLineChars="200"/>
        <w:rPr>
          <w:rFonts w:ascii="宋体" w:hAnsi="宋体"/>
          <w:sz w:val="24"/>
        </w:rPr>
      </w:pPr>
      <w:r>
        <w:rPr>
          <w:rFonts w:hint="eastAsia" w:ascii="宋体" w:hAnsi="宋体"/>
          <w:sz w:val="24"/>
        </w:rPr>
        <w:t>第一，主持或参加中央马克思主义理论研究和建设工程教材编写项目5项。其中张文显教授、姚建宗教授分别担任“法理学”教材编写课题组首席专家（召集人）与主要成员；陈秉公教授、黄文艺教授分别担任“思想道德修养与法律基础”教材编写课题组首席专家与主要成员；宝成关教授担任“中国政治思想史”编写课题组首席专家；周光辉教授担任“政治学原理”教材编写课题组主要成员，张贤明教授担任“当代中国政治制度”课题组主要成员。此外，张文显教授还主持完成了“十一五”国家级规划重点教材《法理学》的编写项目。</w:t>
      </w:r>
    </w:p>
    <w:p>
      <w:pPr>
        <w:spacing w:line="360" w:lineRule="auto"/>
        <w:ind w:firstLine="480" w:firstLineChars="200"/>
        <w:rPr>
          <w:rFonts w:ascii="宋体" w:hAnsi="宋体"/>
          <w:sz w:val="24"/>
        </w:rPr>
      </w:pPr>
      <w:r>
        <w:rPr>
          <w:rFonts w:hint="eastAsia" w:ascii="宋体" w:hAnsi="宋体"/>
          <w:sz w:val="24"/>
        </w:rPr>
        <w:t>第二，5门课程被确定为国家精品课程：张文显教授主持的“法理学”课程，周光辉教授主持的“政治学原理”课程，彭向刚教授主持的“领导科学”课程，陈秉公教授主持的“思想道德修养与法律基础”，徐卫东教授主持的“商法学”课程。</w:t>
      </w:r>
    </w:p>
    <w:p>
      <w:pPr>
        <w:spacing w:line="360" w:lineRule="auto"/>
        <w:ind w:firstLine="480" w:firstLineChars="200"/>
        <w:rPr>
          <w:rFonts w:ascii="宋体" w:hAnsi="宋体"/>
          <w:sz w:val="24"/>
        </w:rPr>
      </w:pPr>
      <w:r>
        <w:rPr>
          <w:rFonts w:hint="eastAsia" w:ascii="宋体" w:hAnsi="宋体"/>
          <w:sz w:val="24"/>
        </w:rPr>
        <w:t>第三，承担多项教育教学改革项目，取得一批教育教学研究成果，2项教学成果荣获国家级教学成果奖。张文显教授与中国人民大学曾宪义教授等合作完成的“中国法学教育教学改革实施工程”成果获得国家级教学成果一等奖，张文显教授等人完成的“法学理论教育创新的研究与实践”获得国家级教学成果二等奖。此外，以张文显教授为带头人的法学理论教学团队2007年被确定为首批国家级教学团队。</w:t>
      </w:r>
    </w:p>
    <w:p>
      <w:pPr>
        <w:spacing w:line="360" w:lineRule="auto"/>
        <w:ind w:firstLine="480" w:firstLineChars="200"/>
        <w:rPr>
          <w:rFonts w:ascii="宋体" w:hAnsi="宋体"/>
          <w:sz w:val="24"/>
        </w:rPr>
      </w:pPr>
      <w:r>
        <w:rPr>
          <w:rFonts w:hint="eastAsia" w:ascii="宋体" w:hAnsi="宋体"/>
          <w:sz w:val="24"/>
        </w:rPr>
        <w:t>第四，举办全国性的博士生论坛、师资培训班。倡议、发起并主办了首届“全国法学理论博士生论坛”，先后举办三次全国性师资培训班，主讲教师为国外、香港和大陆的知名学者。此外，在教育部全国高校教师网络培训中心组织下，开展了全国“法理学”和“政治学理论”两门课程教师的培训工作。</w:t>
      </w:r>
    </w:p>
    <w:p>
      <w:pPr>
        <w:spacing w:line="360" w:lineRule="auto"/>
        <w:rPr>
          <w:rFonts w:ascii="宋体" w:hAnsi="宋体"/>
          <w:sz w:val="24"/>
        </w:rPr>
      </w:pP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decorative"/>
    <w:pitch w:val="default"/>
    <w:sig w:usb0="00000000" w:usb1="00000000" w:usb2="00000000" w:usb3="00000000" w:csb0="00040001" w:csb1="00000000"/>
  </w:font>
  <w:font w:name="Calibri Light">
    <w:altName w:val="Times New Roman"/>
    <w:panose1 w:val="00000000000000000000"/>
    <w:charset w:val="00"/>
    <w:family w:val="modern"/>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40001" w:csb1="00000000"/>
  </w:font>
  <w:font w:name="Calibri Light">
    <w:altName w:val="Times New Roman"/>
    <w:panose1 w:val="00000000000000000000"/>
    <w:charset w:val="00"/>
    <w:family w:val="swiss"/>
    <w:pitch w:val="default"/>
    <w:sig w:usb0="00000000" w:usb1="00000000" w:usb2="00000000" w:usb3="00000000" w:csb0="00000000" w:csb1="00000000"/>
  </w:font>
  <w:font w:name="ˎ̥">
    <w:altName w:val="Times New Roman"/>
    <w:panose1 w:val="00000000000000000000"/>
    <w:charset w:val="00"/>
    <w:family w:val="modern"/>
    <w:pitch w:val="default"/>
    <w:sig w:usb0="00000000" w:usb1="00000000" w:usb2="00000000" w:usb3="00000000" w:csb0="00040001" w:csb1="00000000"/>
  </w:font>
  <w:font w:name="Calibri Light">
    <w:altName w:val="Times New Roman"/>
    <w:panose1 w:val="00000000000000000000"/>
    <w:charset w:val="00"/>
    <w:family w:val="decorative"/>
    <w:pitch w:val="default"/>
    <w:sig w:usb0="00000000" w:usb1="00000000" w:usb2="00000000" w:usb3="00000000" w:csb0="00000000" w:csb1="00000000"/>
  </w:font>
  <w:font w:name="仿宋_GB2312">
    <w:altName w:val="仿宋"/>
    <w:panose1 w:val="02010609030101010101"/>
    <w:charset w:val="86"/>
    <w:family w:val="roman"/>
    <w:pitch w:val="default"/>
    <w:sig w:usb0="00000000" w:usb1="00000000" w:usb2="00000010" w:usb3="00000000" w:csb0="00040000"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C20265"/>
    <w:rsid w:val="7AC2026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2016-04-25T06:17:00Z</dcterms:created>
  <dc:creator>Administrator</dc:creator>
  <cp:lastModifiedBy>Administrator</cp:lastModifiedBy>
  <dcterms:modified xsi:type="dcterms:W3CDTF">2016-04-25T06:17:12Z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