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b/>
          <w:bCs/>
          <w:sz w:val="28"/>
          <w:szCs w:val="28"/>
        </w:rPr>
      </w:pPr>
      <w:r>
        <w:rPr>
          <w:rFonts w:hint="eastAsia" w:ascii="宋体" w:hAnsi="宋体"/>
          <w:b/>
          <w:bCs/>
          <w:sz w:val="28"/>
          <w:szCs w:val="28"/>
        </w:rPr>
        <w:t>科研机构简介：</w:t>
      </w:r>
    </w:p>
    <w:p>
      <w:pPr>
        <w:jc w:val="center"/>
        <w:rPr>
          <w:rFonts w:ascii="宋体" w:hAnsi="宋体"/>
          <w:sz w:val="28"/>
          <w:szCs w:val="28"/>
        </w:rPr>
      </w:pPr>
      <w:r>
        <w:rPr>
          <w:rFonts w:hint="eastAsia" w:ascii="宋体" w:hAnsi="宋体"/>
          <w:sz w:val="28"/>
          <w:szCs w:val="28"/>
        </w:rPr>
        <w:t>机构名称：×××</w:t>
      </w:r>
    </w:p>
    <w:p>
      <w:pPr>
        <w:rPr>
          <w:rFonts w:ascii="宋体" w:hAnsi="宋体"/>
          <w:sz w:val="28"/>
          <w:szCs w:val="28"/>
        </w:rPr>
      </w:pPr>
      <w:r>
        <w:rPr>
          <w:rFonts w:hint="eastAsia" w:ascii="宋体" w:hAnsi="宋体"/>
          <w:sz w:val="28"/>
          <w:szCs w:val="28"/>
        </w:rPr>
        <w:t>正文部分：</w:t>
      </w:r>
    </w:p>
    <w:p>
      <w:pPr>
        <w:rPr>
          <w:rFonts w:ascii="宋体" w:hAnsi="宋体"/>
          <w:sz w:val="28"/>
          <w:szCs w:val="28"/>
        </w:rPr>
      </w:pPr>
      <w:r>
        <w:rPr>
          <w:rFonts w:hint="eastAsia" w:ascii="宋体" w:hAnsi="宋体"/>
          <w:sz w:val="28"/>
          <w:szCs w:val="28"/>
        </w:rPr>
        <w:t>一、历史沿革</w:t>
      </w:r>
      <w:bookmarkStart w:id="0" w:name="_GoBack"/>
      <w:bookmarkEnd w:id="0"/>
    </w:p>
    <w:p>
      <w:pPr>
        <w:rPr>
          <w:rFonts w:ascii="宋体" w:hAnsi="宋体"/>
          <w:sz w:val="28"/>
          <w:szCs w:val="28"/>
        </w:rPr>
      </w:pPr>
      <w:r>
        <w:rPr>
          <w:rFonts w:hint="eastAsia" w:ascii="宋体" w:hAnsi="宋体"/>
          <w:sz w:val="28"/>
          <w:szCs w:val="28"/>
        </w:rPr>
        <w:t>二、简况（机构负责人、研究队伍、博士和硕士点情况、主要研究方向等）</w:t>
      </w:r>
    </w:p>
    <w:p>
      <w:pPr>
        <w:rPr>
          <w:rFonts w:ascii="宋体" w:hAnsi="宋体"/>
          <w:sz w:val="28"/>
          <w:szCs w:val="28"/>
        </w:rPr>
      </w:pPr>
      <w:r>
        <w:rPr>
          <w:rFonts w:hint="eastAsia" w:ascii="宋体" w:hAnsi="宋体"/>
          <w:sz w:val="28"/>
          <w:szCs w:val="28"/>
        </w:rPr>
        <w:t>三、工作成绩（科研项目、科研成果、科研获奖、人才培养、学术交流、学术刊物、图书资料情况等）</w:t>
      </w:r>
    </w:p>
    <w:p>
      <w:pPr>
        <w:spacing w:line="360" w:lineRule="auto"/>
        <w:rPr>
          <w:rFonts w:ascii="宋体" w:hAnsi="宋体"/>
          <w:sz w:val="24"/>
        </w:rPr>
      </w:pPr>
    </w:p>
    <w:p>
      <w:pPr>
        <w:pStyle w:val="2"/>
        <w:tabs>
          <w:tab w:val="center" w:pos="4153"/>
        </w:tabs>
        <w:spacing w:before="0" w:after="0"/>
        <w:jc w:val="center"/>
      </w:pPr>
      <w:r>
        <w:rPr>
          <w:rFonts w:hint="eastAsia" w:ascii="宋体" w:hAnsi="宋体"/>
          <w:bCs w:val="0"/>
          <w:kern w:val="2"/>
          <w:sz w:val="30"/>
          <w:szCs w:val="30"/>
        </w:rPr>
        <w:t>吉林大学东北亚研究中心</w:t>
      </w:r>
    </w:p>
    <w:p>
      <w:pPr>
        <w:spacing w:line="360" w:lineRule="auto"/>
        <w:ind w:firstLine="551" w:firstLineChars="196"/>
        <w:rPr>
          <w:rFonts w:ascii="宋体" w:hAnsi="宋体"/>
          <w:b/>
          <w:sz w:val="28"/>
          <w:szCs w:val="28"/>
        </w:rPr>
      </w:pPr>
      <w:r>
        <w:rPr>
          <w:rFonts w:hint="eastAsia" w:ascii="宋体" w:hAnsi="宋体"/>
          <w:b/>
          <w:sz w:val="28"/>
          <w:szCs w:val="28"/>
        </w:rPr>
        <w:t>一、历史沿革</w:t>
      </w:r>
    </w:p>
    <w:p>
      <w:pPr>
        <w:spacing w:line="360" w:lineRule="auto"/>
        <w:ind w:firstLine="480" w:firstLineChars="200"/>
        <w:rPr>
          <w:rFonts w:ascii="宋体" w:hAnsi="宋体"/>
          <w:sz w:val="24"/>
        </w:rPr>
      </w:pPr>
      <w:r>
        <w:rPr>
          <w:rFonts w:hint="eastAsia" w:ascii="宋体" w:hAnsi="宋体"/>
          <w:sz w:val="24"/>
        </w:rPr>
        <w:t>吉林大学在东北亚国别研究方面有40余年的历史。1964年，经国务院批准，成立了日本问题研究室和朝鲜问题研究室；20世纪80年代先后成立了日本研究所、朝鲜韩国研究所、苏联研究所和人口研究所。1994年，为了适应改革开放和东北亚区域经济合作发展的需要，学校将日本研究所、朝鲜韩国研究所、苏联研究所、区域经济研究所、图们江国际开发研究所和人口研究所6个处级建制的独立研究机构合并成立了东北亚研究院，实行行政、科研、教学、国际交流的统一管理。经过调整与整合，东北亚研究院实现了对该地区政治、经济、历史、文化、人口的多学科交叉研究，区域综合研究实力显著提高。</w:t>
      </w:r>
    </w:p>
    <w:p>
      <w:pPr>
        <w:spacing w:line="360" w:lineRule="auto"/>
        <w:ind w:firstLine="480" w:firstLineChars="200"/>
        <w:rPr>
          <w:rFonts w:ascii="宋体" w:hAnsi="宋体"/>
          <w:sz w:val="24"/>
        </w:rPr>
      </w:pPr>
      <w:r>
        <w:rPr>
          <w:rFonts w:hint="eastAsia" w:ascii="宋体" w:hAnsi="宋体"/>
          <w:sz w:val="24"/>
        </w:rPr>
        <w:t>1996年，由东北亚研究院牵头的“东北亚区域经济、历史与社会发展”项目，被国家批准为“九五”期间“211工程”重点学科建设项目（一期建设）。</w:t>
      </w:r>
    </w:p>
    <w:p>
      <w:pPr>
        <w:spacing w:line="360" w:lineRule="auto"/>
        <w:ind w:firstLine="480" w:firstLineChars="200"/>
        <w:rPr>
          <w:rFonts w:ascii="宋体" w:hAnsi="宋体"/>
          <w:sz w:val="24"/>
        </w:rPr>
      </w:pPr>
      <w:r>
        <w:rPr>
          <w:rFonts w:hint="eastAsia" w:ascii="宋体" w:hAnsi="宋体"/>
          <w:sz w:val="24"/>
        </w:rPr>
        <w:t>1999年10月，以东北亚研究院为依托，整合校内世界经济、国际政治、东北亚历史等相关学科的研究力量，聘请国内外优秀专家，成立了吉林大学东北亚研究中心，于1999年l2月入选教育部首批十五家人文社会科学重点研究基地。</w:t>
      </w:r>
    </w:p>
    <w:p>
      <w:pPr>
        <w:spacing w:line="360" w:lineRule="auto"/>
        <w:ind w:firstLine="551" w:firstLineChars="196"/>
        <w:rPr>
          <w:rFonts w:ascii="宋体" w:hAnsi="宋体"/>
          <w:b/>
          <w:sz w:val="28"/>
          <w:szCs w:val="28"/>
        </w:rPr>
      </w:pPr>
      <w:r>
        <w:rPr>
          <w:rFonts w:hint="eastAsia" w:ascii="宋体" w:hAnsi="宋体"/>
          <w:b/>
          <w:sz w:val="28"/>
          <w:szCs w:val="28"/>
        </w:rPr>
        <w:t>二、简况</w:t>
      </w:r>
    </w:p>
    <w:p>
      <w:pPr>
        <w:spacing w:line="360" w:lineRule="auto"/>
        <w:ind w:firstLine="480" w:firstLineChars="200"/>
        <w:rPr>
          <w:rFonts w:ascii="宋体" w:hAnsi="宋体"/>
          <w:sz w:val="24"/>
        </w:rPr>
      </w:pPr>
      <w:r>
        <w:rPr>
          <w:rFonts w:hint="eastAsia" w:ascii="宋体" w:hAnsi="宋体"/>
          <w:sz w:val="24"/>
        </w:rPr>
        <w:t>东北亚研究中心是“九五”、“十五”、“十一五”、“211工程”重点学科建设项目单位，2004年“东北亚区域合作与长吉图发展战略哲学社会科学创新基地”入选“985工程”二期哲学社会科学创新基地，2010年“东北亚区域合作与长吉图发展战略哲学社会科学创新基地”和“中国人口老龄化研究创新平台”入选“985工程”三期哲学社会科学创新平台。2009年在教育部对高校人文社会科学重点研究基地的评估中，东北亚研究中心被评为教育部优秀重点研究基地。中心以重点研究基地为平台，整合校内资源，吸收国外著名专家，以重大项目研究为载体，开展跨学科综合研究和交叉研究，在科学研究、人才培养、国际学术交流以及为国家和地方社会经济发展服务等方面取得了显著成绩，已经发展成为在国内外有重要影响的国别问题研究机构。</w:t>
      </w:r>
    </w:p>
    <w:p>
      <w:pPr>
        <w:spacing w:line="360" w:lineRule="auto"/>
        <w:ind w:firstLine="480" w:firstLineChars="200"/>
        <w:rPr>
          <w:rFonts w:ascii="宋体" w:hAnsi="宋体"/>
          <w:sz w:val="24"/>
        </w:rPr>
      </w:pPr>
      <w:r>
        <w:rPr>
          <w:rFonts w:hint="eastAsia" w:ascii="宋体" w:hAnsi="宋体"/>
          <w:sz w:val="24"/>
        </w:rPr>
        <w:t>中心主任由著名人口学家、经济学家王胜今教授担任。目前，中心共有专职科研人员21名，兼职科研人员7人,其中教授24人，副教授4人，拥有博士学位的26人，归国留学人员26人。有国务院学科评议组成员1人，教育部社会科学委员会委员1人，国家社科基金项目规划评审专家1人，教育部跨世纪优秀人才1人。</w:t>
      </w:r>
    </w:p>
    <w:p>
      <w:pPr>
        <w:spacing w:line="360" w:lineRule="auto"/>
        <w:ind w:firstLine="480" w:firstLineChars="200"/>
        <w:rPr>
          <w:rFonts w:ascii="宋体" w:hAnsi="宋体"/>
          <w:color w:val="000000"/>
          <w:sz w:val="24"/>
        </w:rPr>
      </w:pPr>
      <w:r>
        <w:rPr>
          <w:rFonts w:hint="eastAsia" w:ascii="宋体" w:hAnsi="宋体"/>
          <w:sz w:val="24"/>
        </w:rPr>
        <w:t>中心的主要研究方向包括东北亚区域经济、政治、历史与社会发展等，中心在巩固国别研究优势的同时，注重对东北</w:t>
      </w:r>
      <w:r>
        <w:rPr>
          <w:rFonts w:hint="eastAsia" w:ascii="宋体" w:hAnsi="宋体"/>
          <w:color w:val="000000"/>
          <w:sz w:val="24"/>
        </w:rPr>
        <w:t>亚地区基础理论和重大现实问题的综合研究，在东北亚区域经济合作、中日韩FTA、能源安全与合作、区域环境保护、地区安全机制、朝鲜半岛国际关系与朝核问题、图们江地区国际开发、东北老工业基地振兴、东北亚近现代国际关系史、中国东北移民史等方面取得一系列重要的研究成果。</w:t>
      </w:r>
    </w:p>
    <w:p>
      <w:pPr>
        <w:spacing w:line="360" w:lineRule="auto"/>
        <w:ind w:firstLine="551" w:firstLineChars="196"/>
        <w:rPr>
          <w:rFonts w:ascii="宋体" w:hAnsi="宋体"/>
          <w:b/>
          <w:sz w:val="28"/>
          <w:szCs w:val="28"/>
        </w:rPr>
      </w:pPr>
      <w:r>
        <w:rPr>
          <w:rFonts w:hint="eastAsia" w:ascii="宋体" w:hAnsi="宋体"/>
          <w:b/>
          <w:sz w:val="28"/>
          <w:szCs w:val="28"/>
        </w:rPr>
        <w:t>三、工作成绩</w:t>
      </w:r>
    </w:p>
    <w:p>
      <w:pPr>
        <w:spacing w:line="360" w:lineRule="auto"/>
        <w:ind w:firstLine="472" w:firstLineChars="196"/>
        <w:rPr>
          <w:rFonts w:ascii="宋体" w:hAnsi="宋体"/>
          <w:b/>
          <w:sz w:val="24"/>
        </w:rPr>
      </w:pPr>
      <w:r>
        <w:rPr>
          <w:rFonts w:hint="eastAsia" w:ascii="宋体" w:hAnsi="宋体"/>
          <w:b/>
          <w:sz w:val="24"/>
        </w:rPr>
        <w:t>（一）科研项目</w:t>
      </w:r>
    </w:p>
    <w:p>
      <w:pPr>
        <w:spacing w:line="360" w:lineRule="auto"/>
        <w:ind w:firstLine="420"/>
        <w:rPr>
          <w:rFonts w:ascii="宋体" w:hAnsi="宋体"/>
          <w:sz w:val="24"/>
        </w:rPr>
      </w:pPr>
      <w:r>
        <w:rPr>
          <w:rFonts w:hint="eastAsia" w:ascii="宋体" w:hAnsi="宋体"/>
          <w:sz w:val="24"/>
        </w:rPr>
        <w:t>2001-2010年．中心科研人员承担各级各类项目共176项，其中包括中心主任王胜今教授为首席专家的国家社科基金重大项目“东北亚区域合作与东北振兴研究”和“21世纪我国人口变动趋势与社会结构变动关系研究”，部委委托重大项目“东北振兴中的对外开放规划研究”、“未来朝鲜半岛形势走向及我对应方案”等。目前，中心正在承担一系列长吉图开发开放先导区专项规划研究课题和长吉图沿线城市相关规划研究课题，主要包括《敦化市长吉图开发开放先导区建设系列规划研究》《吉林省“十二五”规划专题系列研究》《长吉图先导区国土资源开发利用与保护研究》《延边州“十二五”对外开放系列规划研究》等。</w:t>
      </w:r>
    </w:p>
    <w:p>
      <w:pPr>
        <w:tabs>
          <w:tab w:val="center" w:pos="4153"/>
        </w:tabs>
        <w:spacing w:line="360" w:lineRule="auto"/>
        <w:ind w:firstLine="482" w:firstLineChars="200"/>
        <w:rPr>
          <w:rFonts w:ascii="宋体" w:hAnsi="宋体"/>
          <w:b/>
          <w:sz w:val="24"/>
        </w:rPr>
      </w:pPr>
      <w:r>
        <w:rPr>
          <w:rFonts w:hint="eastAsia" w:ascii="宋体" w:hAnsi="宋体"/>
          <w:b/>
          <w:sz w:val="24"/>
        </w:rPr>
        <w:t>（二）主要研究成果</w:t>
      </w:r>
    </w:p>
    <w:p>
      <w:pPr>
        <w:spacing w:line="360" w:lineRule="auto"/>
        <w:ind w:firstLine="480" w:firstLineChars="200"/>
        <w:rPr>
          <w:rFonts w:ascii="宋体" w:hAnsi="宋体"/>
          <w:sz w:val="24"/>
        </w:rPr>
      </w:pPr>
      <w:r>
        <w:rPr>
          <w:rFonts w:hint="eastAsia" w:ascii="宋体" w:hAnsi="宋体"/>
          <w:sz w:val="24"/>
        </w:rPr>
        <w:t>东北亚研究中心在东北亚国别研究方面具有较强的基础，在继续巩固国别研究的基础上，加强了对东北亚地区政治、经济、历史等基础理论问题的跨学科综合研究，在东北亚区域经济合作、跨国边境经济合作区、东北老工业基地振兴、东北亚地缘政治、东北亚史、中国东北移民史等方面取得了突出的成果，产生了一大批高水平的研究成果，部分研究成果不仅填补了国内空白，而且引起了国际反响。2001-2010年，中心共出版著作102部，其中专著51部；发表论文1256篇；被采纳咨询报告138篇；获得各级各类奖项38项。</w:t>
      </w:r>
    </w:p>
    <w:p>
      <w:pPr>
        <w:spacing w:line="360" w:lineRule="auto"/>
        <w:ind w:firstLine="480" w:firstLineChars="200"/>
        <w:rPr>
          <w:rFonts w:ascii="宋体" w:hAnsi="宋体"/>
          <w:sz w:val="24"/>
        </w:rPr>
      </w:pPr>
      <w:r>
        <w:rPr>
          <w:rFonts w:hint="eastAsia" w:ascii="宋体" w:hAnsi="宋体"/>
          <w:sz w:val="24"/>
        </w:rPr>
        <w:t>2001年东北亚研究院以国别研究为重点，组织出版了一套系列著作，共9部。</w:t>
      </w:r>
    </w:p>
    <w:p>
      <w:pPr>
        <w:spacing w:line="360" w:lineRule="auto"/>
        <w:ind w:firstLine="480" w:firstLineChars="200"/>
        <w:rPr>
          <w:rFonts w:ascii="宋体" w:hAnsi="宋体"/>
          <w:sz w:val="24"/>
        </w:rPr>
      </w:pPr>
      <w:r>
        <w:rPr>
          <w:rFonts w:hint="eastAsia" w:ascii="宋体" w:hAnsi="宋体"/>
          <w:sz w:val="24"/>
        </w:rPr>
        <w:t>2006年，中心联合行政学院的国际政治系、文学院的边疆考古研究中心和国际关系研究中心，出版了标志性成果——东北亚研究系列著作，共19部。这套学术著作涵盖了政治学、经济学、历史学、国际关系学、人口学、考古学等学科领域，是国内迄今为止有关东北亚问题研究中影响较大的标志性成果，填补了国内东北亚综合研究领域的空白，充实了国际问题研究的理论基础，是对国际问题开展多学科交叉研究的有益探索。</w:t>
      </w:r>
    </w:p>
    <w:p>
      <w:pPr>
        <w:spacing w:line="360" w:lineRule="auto"/>
        <w:ind w:firstLine="480" w:firstLineChars="200"/>
        <w:rPr>
          <w:rFonts w:ascii="宋体" w:hAnsi="宋体"/>
          <w:sz w:val="24"/>
        </w:rPr>
      </w:pPr>
      <w:r>
        <w:rPr>
          <w:rFonts w:hint="eastAsia" w:ascii="宋体" w:hAnsi="宋体"/>
          <w:sz w:val="24"/>
        </w:rPr>
        <w:t>多年来，中心在重视国别研究和综合研究的同时，还特别重视专项研究，并对中青年学者的专项研究予以资助，组织出版了重点研究基地专项研究系列专著，现已出版21部。王胜今教授的著作《伪满时期中国东北地区移民研究——兼论日本帝国主义实施的移民侵略》（中国社会科学出版社，2005）一书，首次科学论证了日本对中国东北地区实施的“移民侵略”，填补了国内外学术界有关日本侵华史研究的空白。新华社专发了供中央领导的参阅件，引起中央有关领导的高度重视。稿件转发公开后，被《新华每日电讯》《国际先驱导报》等一系列报纸和新华网等几十家网站刊登和转载，引起社会各界热议。与此同时，在日本、韩国、美国等国家也引起了极大反响。目前该书的韩文版、英文版分别在韩国、美国出版。</w:t>
      </w:r>
    </w:p>
    <w:p>
      <w:pPr>
        <w:spacing w:line="360" w:lineRule="auto"/>
        <w:ind w:firstLine="480" w:firstLineChars="200"/>
        <w:rPr>
          <w:rFonts w:ascii="宋体" w:hAnsi="宋体"/>
          <w:sz w:val="24"/>
        </w:rPr>
      </w:pPr>
      <w:r>
        <w:rPr>
          <w:rFonts w:hint="eastAsia" w:ascii="宋体" w:hAnsi="宋体"/>
          <w:sz w:val="24"/>
        </w:rPr>
        <w:t>中心积极开展应用研究，先后承担了“21世纪图们江周边国家经济发展对策研究”、“中国珲春——朝鲜罗先跨国经济合作区规划研究”等课题，研究成果已经被国务院图们江开发领导小组采纳，为我国制定相关政策提供了重要依据。2009年8月30日，国务院批准了《中国图们江区域合作开发规划纲要——以长吉图为开发开放先导区》（以下简称《规划纲要》），长吉图开发开放先导区成为国家批准实施的第一个沿边开发开放先行先试区域。东北亚研究中心全面参与了《规划纲要》的研究和设计，为这一国家战略的制定做出了重要贡献，成为服务国家战略、服务地方经济发展的一个典型范例。《规划纲要》获得国家批准以后，吉林省政府依托教育部东北亚研究重点基地吉林大学东北亚研究中心，成立“吉林省长吉图开发开放研究中心”，由吉林省人民政府与吉林大学共建。</w:t>
      </w:r>
    </w:p>
    <w:p>
      <w:pPr>
        <w:spacing w:line="360" w:lineRule="auto"/>
        <w:ind w:firstLine="480" w:firstLineChars="200"/>
        <w:rPr>
          <w:rFonts w:ascii="宋体" w:hAnsi="宋体"/>
          <w:sz w:val="24"/>
        </w:rPr>
      </w:pPr>
      <w:r>
        <w:rPr>
          <w:rFonts w:hint="eastAsia" w:ascii="宋体" w:hAnsi="宋体"/>
          <w:sz w:val="24"/>
        </w:rPr>
        <w:t>朝鲜半岛问题是东北亚研究院多年跟踪研究的热点问题之一。2002年，朝鲜宣布在新义州设立经济特区，东北亚研究中心联合有关合作单位完成了“关于朝鲜建立新义州特别行政区及其对我国影响的考察报告”，提交国家有关部门，受到高度评价。2007年，张慧智教授承担了外交部招标课题“未来朝鲜半岛形势走向及我应对方案”，经过多次调研考察，向外交部提交了有针对性、可操作性的建设性方案，获得了外交部的高度评价。2010年，王胜今教授针对朝韩炮击事件及朝鲜半岛最新形势走向撰写咨询报告，报告提交后，得到教育部、外交部等部门高度评价，被评为2010年度教育部优秀咨询报告。</w:t>
      </w:r>
    </w:p>
    <w:p>
      <w:pPr>
        <w:spacing w:line="360" w:lineRule="auto"/>
        <w:ind w:firstLine="480" w:firstLineChars="200"/>
        <w:rPr>
          <w:rFonts w:ascii="宋体" w:hAnsi="宋体"/>
          <w:sz w:val="24"/>
        </w:rPr>
      </w:pPr>
      <w:r>
        <w:rPr>
          <w:rFonts w:hint="eastAsia" w:ascii="宋体" w:hAnsi="宋体"/>
          <w:sz w:val="24"/>
        </w:rPr>
        <w:t>2003年，国家提出振兴东北等老工业基地战略举措以后，东北亚研究中心加强了对东北振兴的研究。王胜今教授承担了国家社科基金重大项目“东北亚区域合作与东北振兴”，发表了《东北老工业基地振兴之路：推进再工业化进程》《东北区域经济一体化研究》《东北地区民营经济发展战略研究》《振兴东北与东北亚区域合作研究》等系列研究成果，其中多篇被《新华文摘》《中国人民大学报刊复印资料》《高等学校文科学术文摘》等转载或选登。</w:t>
      </w:r>
    </w:p>
    <w:p>
      <w:pPr>
        <w:spacing w:line="360" w:lineRule="auto"/>
        <w:ind w:firstLine="480" w:firstLineChars="200"/>
        <w:rPr>
          <w:rFonts w:ascii="宋体" w:hAnsi="宋体"/>
          <w:sz w:val="24"/>
        </w:rPr>
      </w:pPr>
      <w:r>
        <w:rPr>
          <w:rFonts w:hint="eastAsia" w:ascii="宋体" w:hAnsi="宋体"/>
          <w:sz w:val="24"/>
        </w:rPr>
        <w:t>2006年，由李玉潭教授承担的国务院振兴东北办项目，并负责承担“东北对外开放战略”子课题。研究成果作为《东北地区振兴规划》的一部分，被国务院采纳，并得到了国务院振兴东北办的高度评价。</w:t>
      </w:r>
    </w:p>
    <w:p>
      <w:pPr>
        <w:ind w:firstLine="420" w:firstLineChars="200"/>
        <w:rPr>
          <w:rFonts w:ascii="宋体" w:hAnsi="宋体"/>
          <w:szCs w:val="21"/>
        </w:rPr>
      </w:pPr>
    </w:p>
    <w:p>
      <w:pPr/>
    </w:p>
    <w:p>
      <w:pPr/>
    </w:p>
    <w:p>
      <w:pPr/>
    </w:p>
    <w:p>
      <w:pPr/>
    </w:p>
    <w:p>
      <w:pPr/>
    </w:p>
    <w:p>
      <w:pPr/>
    </w:p>
    <w:p>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Arial">
    <w:panose1 w:val="020B0604020202020204"/>
    <w:charset w:val="01"/>
    <w:family w:val="decorative"/>
    <w:pitch w:val="default"/>
    <w:sig w:usb0="E0002AFF" w:usb1="C0007843" w:usb2="00000009" w:usb3="00000000" w:csb0="400001FF" w:csb1="FFFF0000"/>
  </w:font>
  <w:font w:name="Courier New">
    <w:panose1 w:val="02070309020205020404"/>
    <w:charset w:val="01"/>
    <w:family w:val="swiss"/>
    <w:pitch w:val="default"/>
    <w:sig w:usb0="E0002AFF" w:usb1="C0007843" w:usb2="00000009" w:usb3="00000000" w:csb0="400001FF" w:csb1="FFFF0000"/>
  </w:font>
  <w:font w:name="Symbol">
    <w:panose1 w:val="05050102010706020507"/>
    <w:charset w:val="02"/>
    <w:family w:val="modern"/>
    <w:pitch w:val="default"/>
    <w:sig w:usb0="00000000" w:usb1="00000000" w:usb2="00000000" w:usb3="00000000" w:csb0="80000000" w:csb1="00000000"/>
  </w:font>
  <w:font w:name="Cambria">
    <w:panose1 w:val="02040503050406030204"/>
    <w:charset w:val="00"/>
    <w:family w:val="swiss"/>
    <w:pitch w:val="default"/>
    <w:sig w:usb0="E00002FF" w:usb1="400004FF" w:usb2="00000000" w:usb3="00000000" w:csb0="2000019F" w:csb1="00000000"/>
  </w:font>
  <w:font w:name="Calibri">
    <w:panose1 w:val="020F0502020204030204"/>
    <w:charset w:val="00"/>
    <w:family w:val="roman"/>
    <w:pitch w:val="default"/>
    <w:sig w:usb0="E10002FF" w:usb1="4000ACFF" w:usb2="00000009" w:usb3="00000000" w:csb0="2000019F" w:csb1="00000000"/>
  </w:font>
  <w:font w:name="Arial">
    <w:panose1 w:val="020B0604020202020204"/>
    <w:charset w:val="01"/>
    <w:family w:val="roman"/>
    <w:pitch w:val="default"/>
    <w:sig w:usb0="E0002AFF" w:usb1="C0007843" w:usb2="00000009" w:usb3="00000000" w:csb0="400001FF" w:csb1="FFFF0000"/>
  </w:font>
  <w:font w:name="Courier New">
    <w:panose1 w:val="02070309020205020404"/>
    <w:charset w:val="01"/>
    <w:family w:val="decorative"/>
    <w:pitch w:val="default"/>
    <w:sig w:usb0="E0002AFF" w:usb1="C0007843" w:usb2="00000009" w:usb3="00000000" w:csb0="400001FF" w:csb1="FFFF0000"/>
  </w:font>
  <w:font w:name="Symbol">
    <w:panose1 w:val="05050102010706020507"/>
    <w:charset w:val="02"/>
    <w:family w:val="swiss"/>
    <w:pitch w:val="default"/>
    <w:sig w:usb0="00000000" w:usb1="00000000" w:usb2="00000000" w:usb3="00000000" w:csb0="80000000" w:csb1="00000000"/>
  </w:font>
  <w:font w:name="Cambria">
    <w:panose1 w:val="02040503050406030204"/>
    <w:charset w:val="00"/>
    <w:family w:val="decorative"/>
    <w:pitch w:val="default"/>
    <w:sig w:usb0="E00002FF" w:usb1="400004FF" w:usb2="00000000" w:usb3="00000000" w:csb0="2000019F" w:csb1="00000000"/>
  </w:font>
  <w:font w:name="Calibri">
    <w:panose1 w:val="020F0502020204030204"/>
    <w:charset w:val="00"/>
    <w:family w:val="modern"/>
    <w:pitch w:val="default"/>
    <w:sig w:usb0="E10002FF" w:usb1="4000ACFF" w:usb2="00000009" w:usb3="00000000" w:csb0="2000019F" w:csb1="00000000"/>
  </w:font>
  <w:font w:name="Arial">
    <w:panose1 w:val="020B0604020202020204"/>
    <w:charset w:val="01"/>
    <w:family w:val="modern"/>
    <w:pitch w:val="default"/>
    <w:sig w:usb0="E0002AFF" w:usb1="C0007843" w:usb2="00000009" w:usb3="00000000" w:csb0="400001FF" w:csb1="FFFF0000"/>
  </w:font>
  <w:font w:name="Courier New">
    <w:panose1 w:val="02070309020205020404"/>
    <w:charset w:val="01"/>
    <w:family w:val="roman"/>
    <w:pitch w:val="default"/>
    <w:sig w:usb0="E0002AFF" w:usb1="C0007843" w:usb2="00000009" w:usb3="00000000" w:csb0="400001FF" w:csb1="FFFF0000"/>
  </w:font>
  <w:font w:name="Symbol">
    <w:panose1 w:val="05050102010706020507"/>
    <w:charset w:val="02"/>
    <w:family w:val="decorative"/>
    <w:pitch w:val="default"/>
    <w:sig w:usb0="00000000" w:usb1="00000000" w:usb2="00000000" w:usb3="00000000" w:csb0="80000000" w:csb1="00000000"/>
  </w:font>
  <w:font w:name="ˎ̥">
    <w:altName w:val="Times New Roman"/>
    <w:panose1 w:val="00000000000000000000"/>
    <w:charset w:val="00"/>
    <w:family w:val="decorative"/>
    <w:pitch w:val="default"/>
    <w:sig w:usb0="00000000" w:usb1="00000000" w:usb2="00000000" w:usb3="00000000" w:csb0="00040001" w:csb1="00000000"/>
  </w:font>
  <w:font w:name="Calibri Light">
    <w:altName w:val="Times New Roman"/>
    <w:panose1 w:val="00000000000000000000"/>
    <w:charset w:val="00"/>
    <w:family w:val="modern"/>
    <w:pitch w:val="default"/>
    <w:sig w:usb0="00000000" w:usb1="00000000" w:usb2="00000000" w:usb3="00000000" w:csb0="00000000" w:csb1="00000000"/>
  </w:font>
  <w:font w:name="ˎ̥">
    <w:altName w:val="Times New Roman"/>
    <w:panose1 w:val="00000000000000000000"/>
    <w:charset w:val="00"/>
    <w:family w:val="roman"/>
    <w:pitch w:val="default"/>
    <w:sig w:usb0="00000000" w:usb1="00000000" w:usb2="00000000" w:usb3="00000000" w:csb0="00040001" w:csb1="00000000"/>
  </w:font>
  <w:font w:name="Calibri Light">
    <w:altName w:val="Times New Roman"/>
    <w:panose1 w:val="00000000000000000000"/>
    <w:charset w:val="00"/>
    <w:family w:val="swiss"/>
    <w:pitch w:val="default"/>
    <w:sig w:usb0="00000000" w:usb1="00000000" w:usb2="00000000" w:usb3="00000000" w:csb0="00000000" w:csb1="00000000"/>
  </w:font>
  <w:font w:name="ˎ̥">
    <w:altName w:val="Times New Roman"/>
    <w:panose1 w:val="00000000000000000000"/>
    <w:charset w:val="00"/>
    <w:family w:val="modern"/>
    <w:pitch w:val="default"/>
    <w:sig w:usb0="00000000" w:usb1="00000000" w:usb2="00000000" w:usb3="00000000" w:csb0="00040001" w:csb1="00000000"/>
  </w:font>
  <w:font w:name="Calibri Light">
    <w:altName w:val="Times New Roman"/>
    <w:panose1 w:val="00000000000000000000"/>
    <w:charset w:val="00"/>
    <w:family w:val="decorative"/>
    <w:pitch w:val="default"/>
    <w:sig w:usb0="00000000" w:usb1="00000000" w:usb2="00000000" w:usb3="00000000" w:csb0="00000000" w:csb1="00000000"/>
  </w:font>
  <w:font w:name="仿宋_GB2312">
    <w:altName w:val="仿宋"/>
    <w:panose1 w:val="02010609030101010101"/>
    <w:charset w:val="86"/>
    <w:family w:val="roman"/>
    <w:pitch w:val="default"/>
    <w:sig w:usb0="00000000" w:usb1="00000000" w:usb2="00000010" w:usb3="00000000" w:csb0="00040000" w:csb1="00000000"/>
  </w:font>
  <w:font w:name="黑体">
    <w:panose1 w:val="02010609060101010101"/>
    <w:charset w:val="86"/>
    <w:family w:val="roma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黑体">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swiss"/>
    <w:pitch w:val="default"/>
    <w:sig w:usb0="00000000" w:usb1="00000000" w:usb2="00000010" w:usb3="00000000" w:csb0="00040000" w:csb1="00000000"/>
  </w:font>
  <w:font w:name="黑体">
    <w:panose1 w:val="02010609060101010101"/>
    <w:charset w:val="86"/>
    <w:family w:val="swiss"/>
    <w:pitch w:val="default"/>
    <w:sig w:usb0="800002BF" w:usb1="38CF7CFA" w:usb2="00000016" w:usb3="00000000" w:csb0="00040001" w:csb1="00000000"/>
  </w:font>
  <w:font w:name="仿宋_GB2312">
    <w:altName w:val="仿宋"/>
    <w:panose1 w:val="02010609030101010101"/>
    <w:charset w:val="86"/>
    <w:family w:val="decorative"/>
    <w:pitch w:val="default"/>
    <w:sig w:usb0="00000000" w:usb1="00000000" w:usb2="00000010" w:usb3="00000000" w:csb0="00040000" w:csb1="00000000"/>
  </w:font>
  <w:font w:name="黑体">
    <w:panose1 w:val="02010609060101010101"/>
    <w:charset w:val="86"/>
    <w:family w:val="decorative"/>
    <w:pitch w:val="default"/>
    <w:sig w:usb0="800002BF" w:usb1="38CF7CFA" w:usb2="00000016" w:usb3="00000000" w:csb0="00040001" w:csb1="00000000"/>
  </w:font>
  <w:font w:name="ˎ̥">
    <w:altName w:val="Times New Roman"/>
    <w:panose1 w:val="00000000000000000000"/>
    <w:charset w:val="00"/>
    <w:family w:val="swiss"/>
    <w:pitch w:val="default"/>
    <w:sig w:usb0="00000000" w:usb1="00000000" w:usb2="00000000" w:usb3="00000000" w:csb0="00040001" w:csb1="00000000"/>
  </w:font>
  <w:font w:name="Calibri Ligh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F4B01E9"/>
    <w:rsid w:val="3F4B01E9"/>
    <w:rsid w:val="7C894146"/>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Office_10.1.0.5740_F1E327BC-269C-435d-A152-05C5408002CA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2016-04-25T06:16:00Z</dcterms:created>
  <dc:creator>Administrator</dc:creator>
  <cp:lastModifiedBy>Administrator</cp:lastModifiedBy>
  <dcterms:modified xsi:type="dcterms:W3CDTF">2016-06-15T08:18:56Z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2052-10.1.0.5740</vt:lpwstr>
  </property>
</Properties>
</file>